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33C6" w14:textId="2A56E7A4" w:rsidR="00653DF4" w:rsidRPr="002435AE" w:rsidRDefault="00653DF4" w:rsidP="002435AE">
      <w:pPr>
        <w:jc w:val="center"/>
        <w:rPr>
          <w:b/>
          <w:bCs/>
          <w:sz w:val="28"/>
          <w:szCs w:val="28"/>
        </w:rPr>
      </w:pPr>
      <w:r w:rsidRPr="002435AE">
        <w:rPr>
          <w:b/>
          <w:bCs/>
          <w:sz w:val="28"/>
          <w:szCs w:val="28"/>
        </w:rPr>
        <w:t>Investigation into the Influence of Link Dimensional Errors on the Positioning Accuracy of a Four-Degree-of-Freedom SCARA Robot</w:t>
      </w:r>
    </w:p>
    <w:p w14:paraId="24661F9E" w14:textId="77777777" w:rsidR="00653DF4" w:rsidRPr="002435AE" w:rsidRDefault="00653DF4" w:rsidP="002435AE">
      <w:pPr>
        <w:spacing w:before="120" w:after="120"/>
        <w:jc w:val="both"/>
        <w:rPr>
          <w:b/>
          <w:sz w:val="20"/>
          <w:szCs w:val="20"/>
        </w:rPr>
      </w:pPr>
      <w:r w:rsidRPr="002435AE">
        <w:rPr>
          <w:b/>
          <w:sz w:val="20"/>
          <w:szCs w:val="20"/>
        </w:rPr>
        <w:t xml:space="preserve">Thuy Le-Thi-Thu, </w:t>
      </w:r>
    </w:p>
    <w:p w14:paraId="7CD7BFE5" w14:textId="7C3782F8" w:rsidR="00653DF4" w:rsidRPr="002435AE" w:rsidRDefault="00653DF4" w:rsidP="002435AE">
      <w:pPr>
        <w:spacing w:before="120" w:after="120"/>
        <w:jc w:val="both"/>
        <w:rPr>
          <w:bCs/>
          <w:i/>
          <w:iCs/>
          <w:sz w:val="20"/>
          <w:szCs w:val="20"/>
        </w:rPr>
      </w:pPr>
      <w:r w:rsidRPr="002435AE">
        <w:rPr>
          <w:bCs/>
          <w:i/>
          <w:iCs/>
          <w:sz w:val="20"/>
          <w:szCs w:val="20"/>
        </w:rPr>
        <w:t>Faculty of Mechanical  Engineering, Thai Nguyen University of Technology, Thai Nguyen University, Thai Nguyen Province, Vietnam</w:t>
      </w:r>
      <w:r w:rsidR="002435AE">
        <w:rPr>
          <w:bCs/>
          <w:i/>
          <w:iCs/>
          <w:sz w:val="20"/>
          <w:szCs w:val="20"/>
        </w:rPr>
        <w:t xml:space="preserve">. Email: </w:t>
      </w:r>
      <w:hyperlink r:id="rId5" w:history="1">
        <w:r w:rsidR="002435AE" w:rsidRPr="00D17E83">
          <w:rPr>
            <w:rStyle w:val="Hyperlink"/>
            <w:bCs/>
            <w:i/>
            <w:iCs/>
            <w:sz w:val="20"/>
            <w:szCs w:val="20"/>
          </w:rPr>
          <w:t>hanthuyngoc@tnut.edu.vn</w:t>
        </w:r>
      </w:hyperlink>
      <w:r w:rsidR="002435AE">
        <w:rPr>
          <w:bCs/>
          <w:i/>
          <w:iCs/>
          <w:sz w:val="20"/>
          <w:szCs w:val="20"/>
        </w:rPr>
        <w:t>; phone number: 084 982 567 982</w:t>
      </w:r>
    </w:p>
    <w:p w14:paraId="1B789879" w14:textId="77777777" w:rsidR="00653DF4" w:rsidRPr="002435AE" w:rsidRDefault="00653DF4" w:rsidP="002435AE">
      <w:pPr>
        <w:rPr>
          <w:b/>
          <w:bCs/>
          <w:sz w:val="20"/>
          <w:szCs w:val="20"/>
        </w:rPr>
      </w:pPr>
    </w:p>
    <w:p w14:paraId="5D12F2C8" w14:textId="30B7081E" w:rsidR="00B42823" w:rsidRPr="002435AE" w:rsidRDefault="00B42823" w:rsidP="002435AE">
      <w:pPr>
        <w:rPr>
          <w:sz w:val="20"/>
          <w:szCs w:val="20"/>
        </w:rPr>
      </w:pPr>
      <w:r w:rsidRPr="002435AE">
        <w:rPr>
          <w:b/>
          <w:bCs/>
          <w:sz w:val="20"/>
          <w:szCs w:val="20"/>
        </w:rPr>
        <w:t>ABSTRACT</w:t>
      </w:r>
    </w:p>
    <w:p w14:paraId="3AF8D4D9" w14:textId="502848FC" w:rsidR="00B42823" w:rsidRPr="002435AE" w:rsidRDefault="00B42823" w:rsidP="002435AE">
      <w:pPr>
        <w:rPr>
          <w:sz w:val="20"/>
          <w:szCs w:val="20"/>
        </w:rPr>
      </w:pPr>
      <w:r w:rsidRPr="002435AE">
        <w:rPr>
          <w:sz w:val="20"/>
          <w:szCs w:val="20"/>
        </w:rPr>
        <w:t>The SCARA (Selective Compliance Assembly Robot Arm) is a four-degree-of-freedom robot widely used in microchip assembly and placement processes, thanks to its high flexibility in the horizontal plane. The</w:t>
      </w:r>
      <w:r w:rsidR="002435AE">
        <w:rPr>
          <w:sz w:val="20"/>
          <w:szCs w:val="20"/>
        </w:rPr>
        <w:t xml:space="preserve"> </w:t>
      </w:r>
      <w:r w:rsidRPr="002435AE">
        <w:rPr>
          <w:sz w:val="20"/>
          <w:szCs w:val="20"/>
        </w:rPr>
        <w:t>positioning accuracy of the robot's end-effector directly determines the quality of the assembled products. This paper presents a study evaluating the influence of link dimensional manufacturing errors on the positioning accuracy of the SCARA robot gripper. The mathematical relationship is established using the Denavit-Hartenberg (D-H) homogeneous transformation matrix method and total differentiation. Numerical simulation results in MATLAB indicate the error contribution level of each individual link to the final position error. This research provides an important database to help designers allocate manufacturing tolerances rationally and optimize robot production costs.</w:t>
      </w:r>
    </w:p>
    <w:p w14:paraId="770A5BC6" w14:textId="77777777" w:rsidR="00B42823" w:rsidRPr="002435AE" w:rsidRDefault="00B42823" w:rsidP="002435AE">
      <w:pPr>
        <w:rPr>
          <w:sz w:val="20"/>
          <w:szCs w:val="20"/>
        </w:rPr>
      </w:pPr>
      <w:r w:rsidRPr="002435AE">
        <w:rPr>
          <w:b/>
          <w:bCs/>
          <w:sz w:val="20"/>
          <w:szCs w:val="20"/>
        </w:rPr>
        <w:t>Keywords:</w:t>
      </w:r>
      <w:r w:rsidRPr="002435AE">
        <w:rPr>
          <w:sz w:val="20"/>
          <w:szCs w:val="20"/>
        </w:rPr>
        <w:t xml:space="preserve"> SCARA robot; Manufacturing error; Tolerance; Kinematics; Positioning accuracy.</w:t>
      </w:r>
    </w:p>
    <w:p w14:paraId="30B473D3" w14:textId="77777777" w:rsidR="00B42823" w:rsidRPr="002435AE" w:rsidRDefault="00B42823" w:rsidP="002435AE">
      <w:pPr>
        <w:rPr>
          <w:b/>
          <w:bCs/>
          <w:sz w:val="20"/>
          <w:szCs w:val="20"/>
        </w:rPr>
      </w:pPr>
      <w:r w:rsidRPr="002435AE">
        <w:rPr>
          <w:b/>
          <w:bCs/>
          <w:sz w:val="20"/>
          <w:szCs w:val="20"/>
        </w:rPr>
        <w:t>1. INTRODUCTION</w:t>
      </w:r>
    </w:p>
    <w:p w14:paraId="15CC40D8" w14:textId="77777777" w:rsidR="00B42823" w:rsidRPr="002435AE" w:rsidRDefault="00B42823" w:rsidP="002435AE">
      <w:pPr>
        <w:rPr>
          <w:sz w:val="20"/>
          <w:szCs w:val="20"/>
        </w:rPr>
      </w:pPr>
      <w:r w:rsidRPr="002435AE">
        <w:rPr>
          <w:sz w:val="20"/>
          <w:szCs w:val="20"/>
        </w:rPr>
        <w:t>In modern flexible manufacturing systems, the SCARA (Selective Compliance Assembly Robot Arm) configuration is a highly popular class of four-degree-of-freedom manipulators. This robot type is extensively applied in high-speed pick-and-place operations, product sorting, and electronic component assembly [1]. Characterized by a structure featuring three parallel-axis revolute joints and one vertically moving prismatic joint, the SCARA robot exhibits high rigidity along the vertical axis while maintaining exceptional flexibility within the horizontal plane [2]. For tasks involving microchip positioning or precision mechanical assembly, the positioning error of the end-effector serves as a core technical indicator. This parameter directly dictates the defect rate and overall quality of the entire production line [3].</w:t>
      </w:r>
    </w:p>
    <w:p w14:paraId="57E0541E" w14:textId="77777777" w:rsidR="00B42823" w:rsidRPr="002435AE" w:rsidRDefault="00B42823" w:rsidP="002435AE">
      <w:pPr>
        <w:rPr>
          <w:sz w:val="20"/>
          <w:szCs w:val="20"/>
        </w:rPr>
      </w:pPr>
      <w:r w:rsidRPr="002435AE">
        <w:rPr>
          <w:sz w:val="20"/>
          <w:szCs w:val="20"/>
        </w:rPr>
        <w:t>However, in actual manufacturing, the geometric dimensions of robot links invariably deviate from their nominal designs. These variations stem from the limitations of machining capabilities and cumulative errors during mechanical assembly [4]. Numerous empirical studies have demonstrated that for newly commissioned manipulator systems, geometric errors account for over 70% of the total initial positioning error. This factor significantly outweighs non-geometric error sources, such as thermal deformation or elastic backlash [5]. Arbitrarily tightening the manufacturing tolerances of all links can enhance robot accuracy. However, this approach simultaneously causes production costs to grow exponentially, leading to economic inefficiency [6]. Conversely, excessively loosening tolerances will prevent the robot from satisfying specific technological requirements. Consequently, quantitatively evaluating the impact of individual link dimensional errors on end-effector positioning accuracy represents an optimization problem of high practical significance [7].</w:t>
      </w:r>
    </w:p>
    <w:p w14:paraId="5407DED6" w14:textId="6C273E9F" w:rsidR="00B42823" w:rsidRPr="002435AE" w:rsidRDefault="00B42823" w:rsidP="002435AE">
      <w:pPr>
        <w:rPr>
          <w:sz w:val="20"/>
          <w:szCs w:val="20"/>
        </w:rPr>
      </w:pPr>
      <w:r w:rsidRPr="002435AE">
        <w:rPr>
          <w:sz w:val="20"/>
          <w:szCs w:val="20"/>
        </w:rPr>
        <w:t>Driven by these requirements, research directions focused on analyzing the relationship between source errors and manipulator positioning reliability have attracted substantial academic interest. Regarding error modeling methodologies, Weill et al. [8] laid the foundation by establishing transformation matrix chains to evaluate end-effector deviations. To determine the influence weight of individual component parameters, Dao Duy Son and Abhary [9] successfully applied the Design of Experiments (DOE) method to rank the impact levels of the dimensional chain across the workspace. Furthermore, the trend of optimizing tolerance allocation</w:t>
      </w:r>
      <w:r w:rsidR="00653DF4" w:rsidRPr="002435AE">
        <w:rPr>
          <w:sz w:val="20"/>
          <w:szCs w:val="20"/>
        </w:rPr>
        <w:t xml:space="preserve"> - </w:t>
      </w:r>
      <w:r w:rsidRPr="002435AE">
        <w:rPr>
          <w:sz w:val="20"/>
          <w:szCs w:val="20"/>
        </w:rPr>
        <w:t>by coupling positioning accuracy objectives with machining cost constraints</w:t>
      </w:r>
      <w:r w:rsidR="00653DF4" w:rsidRPr="002435AE">
        <w:rPr>
          <w:sz w:val="20"/>
          <w:szCs w:val="20"/>
        </w:rPr>
        <w:t xml:space="preserve"> - </w:t>
      </w:r>
      <w:r w:rsidRPr="002435AE">
        <w:rPr>
          <w:sz w:val="20"/>
          <w:szCs w:val="20"/>
        </w:rPr>
        <w:t>has been aggressively pursued by Wu and Rao [10] using numerical search algorithms.</w:t>
      </w:r>
    </w:p>
    <w:p w14:paraId="4CFC8CB6" w14:textId="77777777" w:rsidR="00B42823" w:rsidRPr="002435AE" w:rsidRDefault="00B42823" w:rsidP="002435AE">
      <w:pPr>
        <w:rPr>
          <w:sz w:val="20"/>
          <w:szCs w:val="20"/>
        </w:rPr>
      </w:pPr>
      <w:r w:rsidRPr="002435AE">
        <w:rPr>
          <w:sz w:val="20"/>
          <w:szCs w:val="20"/>
        </w:rPr>
        <w:t>Although prior works have achieved significant milestones, solving error problems for high-degree-of-freedom configurations (such as 6DOF robots) frequently involves highly complex Jacobian matrix computations. This complexity hinders rapid implementation by design engineers on the factory floor. To simplify the model and enhance its practical applicability, this paper focuses on developing an analytical mathematical model based on the total differentiation method. This approach decouples and investigates the individual impact of link length errors on the positioning accuracy of a 4DOF SCARA robot. The simulation and computation processes are executed in MATLAB using common geometric parameter sets. The obtained results not only clarify the error contribution level of each distinct link but also provide an intuitive database. This information assists manufacturers in allocating tolerances rationally, thereby ensuring target accuracy while minimizing production costs.</w:t>
      </w:r>
    </w:p>
    <w:p w14:paraId="0B0CEBA8" w14:textId="77777777" w:rsidR="00B42823" w:rsidRPr="002435AE" w:rsidRDefault="00B42823" w:rsidP="002435AE">
      <w:pPr>
        <w:rPr>
          <w:b/>
          <w:bCs/>
          <w:sz w:val="20"/>
          <w:szCs w:val="20"/>
        </w:rPr>
      </w:pPr>
      <w:r w:rsidRPr="002435AE">
        <w:rPr>
          <w:b/>
          <w:bCs/>
          <w:sz w:val="20"/>
          <w:szCs w:val="20"/>
        </w:rPr>
        <w:t>2. THEORETICAL BACKGROUND AND RESEARCH METHODOLOGY</w:t>
      </w:r>
    </w:p>
    <w:p w14:paraId="09B9511E" w14:textId="77777777" w:rsidR="00B42823" w:rsidRPr="002435AE" w:rsidRDefault="00B42823" w:rsidP="002435AE">
      <w:pPr>
        <w:rPr>
          <w:b/>
          <w:bCs/>
          <w:sz w:val="20"/>
          <w:szCs w:val="20"/>
        </w:rPr>
      </w:pPr>
      <w:r w:rsidRPr="002435AE">
        <w:rPr>
          <w:b/>
          <w:bCs/>
          <w:sz w:val="20"/>
          <w:szCs w:val="20"/>
        </w:rPr>
        <w:t>2.1. Kinematic Equations of the SCARA Robot</w:t>
      </w:r>
    </w:p>
    <w:p w14:paraId="2569B182" w14:textId="06D8A9D2" w:rsidR="00B42823" w:rsidRPr="002435AE" w:rsidRDefault="00B42823" w:rsidP="002435AE">
      <w:pPr>
        <w:rPr>
          <w:sz w:val="20"/>
          <w:szCs w:val="20"/>
        </w:rPr>
      </w:pPr>
      <w:r w:rsidRPr="002435AE">
        <w:rPr>
          <w:sz w:val="20"/>
          <w:szCs w:val="20"/>
        </w:rPr>
        <w:lastRenderedPageBreak/>
        <w:t xml:space="preserve">The investigated SCARA robot configuration consists of four degrees of freedom, including three revolute joints </w:t>
      </w:r>
      <w:r w:rsidR="00653DF4" w:rsidRPr="002435AE">
        <w:rPr>
          <w:sz w:val="20"/>
          <w:szCs w:val="20"/>
        </w:rPr>
        <w:t>(</w:t>
      </w:r>
      <w:r w:rsidR="00653DF4" w:rsidRPr="002435AE">
        <w:rPr>
          <w:i/>
          <w:iCs/>
          <w:sz w:val="20"/>
          <w:szCs w:val="20"/>
        </w:rPr>
        <w:t>q</w:t>
      </w:r>
      <w:r w:rsidR="00653DF4" w:rsidRPr="002435AE">
        <w:rPr>
          <w:i/>
          <w:iCs/>
          <w:sz w:val="20"/>
          <w:szCs w:val="20"/>
          <w:vertAlign w:val="subscript"/>
        </w:rPr>
        <w:t>1</w:t>
      </w:r>
      <w:r w:rsidR="00653DF4" w:rsidRPr="002435AE">
        <w:rPr>
          <w:i/>
          <w:iCs/>
          <w:sz w:val="20"/>
          <w:szCs w:val="20"/>
        </w:rPr>
        <w:t>, q</w:t>
      </w:r>
      <w:r w:rsidR="00653DF4" w:rsidRPr="002435AE">
        <w:rPr>
          <w:i/>
          <w:iCs/>
          <w:sz w:val="20"/>
          <w:szCs w:val="20"/>
          <w:vertAlign w:val="subscript"/>
        </w:rPr>
        <w:t>2</w:t>
      </w:r>
      <w:r w:rsidR="00653DF4" w:rsidRPr="002435AE">
        <w:rPr>
          <w:i/>
          <w:iCs/>
          <w:sz w:val="20"/>
          <w:szCs w:val="20"/>
        </w:rPr>
        <w:t>, q</w:t>
      </w:r>
      <w:r w:rsidR="00653DF4" w:rsidRPr="002435AE">
        <w:rPr>
          <w:i/>
          <w:iCs/>
          <w:sz w:val="20"/>
          <w:szCs w:val="20"/>
          <w:vertAlign w:val="subscript"/>
        </w:rPr>
        <w:t>4</w:t>
      </w:r>
      <w:r w:rsidRPr="002435AE">
        <w:rPr>
          <w:sz w:val="20"/>
          <w:szCs w:val="20"/>
        </w:rPr>
        <w:t>) and one prismatic joint (</w:t>
      </w:r>
      <w:r w:rsidR="00653DF4" w:rsidRPr="002435AE">
        <w:rPr>
          <w:i/>
          <w:iCs/>
          <w:sz w:val="20"/>
          <w:szCs w:val="20"/>
        </w:rPr>
        <w:t>q</w:t>
      </w:r>
      <w:r w:rsidR="00653DF4" w:rsidRPr="002435AE">
        <w:rPr>
          <w:i/>
          <w:iCs/>
          <w:sz w:val="20"/>
          <w:szCs w:val="20"/>
          <w:vertAlign w:val="subscript"/>
        </w:rPr>
        <w:t>3</w:t>
      </w:r>
      <w:r w:rsidRPr="002435AE">
        <w:rPr>
          <w:sz w:val="20"/>
          <w:szCs w:val="20"/>
        </w:rPr>
        <w:t>). The coordinate systems of the robot links are established according to the Denavit-Hartenberg (D-H) convention (Figure 1).</w:t>
      </w:r>
    </w:p>
    <w:p w14:paraId="32D6F9AF" w14:textId="2114D508" w:rsidR="007B64DB" w:rsidRPr="002435AE" w:rsidRDefault="00653DF4" w:rsidP="002435AE">
      <w:pPr>
        <w:jc w:val="center"/>
        <w:rPr>
          <w:sz w:val="20"/>
          <w:szCs w:val="20"/>
        </w:rPr>
      </w:pPr>
      <w:r w:rsidRPr="002435AE">
        <w:rPr>
          <w:noProof/>
          <w:sz w:val="20"/>
          <w:szCs w:val="20"/>
        </w:rPr>
        <w:drawing>
          <wp:inline distT="0" distB="0" distL="0" distR="0" wp14:anchorId="373D5CF6" wp14:editId="197C687D">
            <wp:extent cx="4907280" cy="2611973"/>
            <wp:effectExtent l="0" t="0" r="7620" b="0"/>
            <wp:docPr id="1314756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932" b="14228"/>
                    <a:stretch>
                      <a:fillRect/>
                    </a:stretch>
                  </pic:blipFill>
                  <pic:spPr bwMode="auto">
                    <a:xfrm>
                      <a:off x="0" y="0"/>
                      <a:ext cx="4946465" cy="2632830"/>
                    </a:xfrm>
                    <a:prstGeom prst="rect">
                      <a:avLst/>
                    </a:prstGeom>
                    <a:noFill/>
                    <a:ln>
                      <a:noFill/>
                    </a:ln>
                    <a:extLst>
                      <a:ext uri="{53640926-AAD7-44D8-BBD7-CCE9431645EC}">
                        <a14:shadowObscured xmlns:a14="http://schemas.microsoft.com/office/drawing/2010/main"/>
                      </a:ext>
                    </a:extLst>
                  </pic:spPr>
                </pic:pic>
              </a:graphicData>
            </a:graphic>
          </wp:inline>
        </w:drawing>
      </w:r>
    </w:p>
    <w:p w14:paraId="50DCB3FE" w14:textId="77777777" w:rsidR="00B42823" w:rsidRPr="002435AE" w:rsidRDefault="00B42823" w:rsidP="002435AE">
      <w:pPr>
        <w:jc w:val="center"/>
        <w:rPr>
          <w:i/>
          <w:iCs/>
          <w:sz w:val="20"/>
          <w:szCs w:val="20"/>
        </w:rPr>
      </w:pPr>
      <w:r w:rsidRPr="002435AE">
        <w:rPr>
          <w:b/>
          <w:bCs/>
          <w:i/>
          <w:iCs/>
          <w:sz w:val="20"/>
          <w:szCs w:val="20"/>
        </w:rPr>
        <w:t>Figure 1:</w:t>
      </w:r>
      <w:r w:rsidRPr="002435AE">
        <w:rPr>
          <w:i/>
          <w:iCs/>
          <w:sz w:val="20"/>
          <w:szCs w:val="20"/>
        </w:rPr>
        <w:t xml:space="preserve"> The 4DOF SCARA robot and its D-H kinematic parameter table.</w:t>
      </w:r>
    </w:p>
    <w:p w14:paraId="3DF20079" w14:textId="77777777" w:rsidR="00B42823" w:rsidRPr="002435AE" w:rsidRDefault="00B42823" w:rsidP="002435AE">
      <w:pPr>
        <w:rPr>
          <w:sz w:val="20"/>
          <w:szCs w:val="20"/>
        </w:rPr>
      </w:pPr>
      <w:r w:rsidRPr="002435AE">
        <w:rPr>
          <w:sz w:val="20"/>
          <w:szCs w:val="20"/>
        </w:rPr>
        <w:t>The nominal geometric dimensions that determine the robot's position include:</w:t>
      </w:r>
    </w:p>
    <w:p w14:paraId="0808FCB3" w14:textId="3557186C" w:rsidR="00B42823" w:rsidRPr="002435AE" w:rsidRDefault="00653DF4" w:rsidP="002435AE">
      <w:pPr>
        <w:numPr>
          <w:ilvl w:val="0"/>
          <w:numId w:val="1"/>
        </w:numPr>
        <w:rPr>
          <w:sz w:val="20"/>
          <w:szCs w:val="20"/>
        </w:rPr>
      </w:pPr>
      <w:r w:rsidRPr="002435AE">
        <w:rPr>
          <w:i/>
          <w:iCs/>
          <w:sz w:val="20"/>
          <w:szCs w:val="20"/>
        </w:rPr>
        <w:t>a</w:t>
      </w:r>
      <w:r w:rsidRPr="002435AE">
        <w:rPr>
          <w:i/>
          <w:iCs/>
          <w:sz w:val="20"/>
          <w:szCs w:val="20"/>
          <w:vertAlign w:val="subscript"/>
        </w:rPr>
        <w:t>1</w:t>
      </w:r>
      <w:r w:rsidR="00B42823" w:rsidRPr="002435AE">
        <w:rPr>
          <w:sz w:val="20"/>
          <w:szCs w:val="20"/>
        </w:rPr>
        <w:t>: Length of link 1 (mm).</w:t>
      </w:r>
    </w:p>
    <w:p w14:paraId="5BD3113A" w14:textId="277D51E9" w:rsidR="00B42823" w:rsidRPr="002435AE" w:rsidRDefault="00653DF4" w:rsidP="002435AE">
      <w:pPr>
        <w:numPr>
          <w:ilvl w:val="0"/>
          <w:numId w:val="1"/>
        </w:numPr>
        <w:rPr>
          <w:sz w:val="20"/>
          <w:szCs w:val="20"/>
        </w:rPr>
      </w:pPr>
      <w:r w:rsidRPr="002435AE">
        <w:rPr>
          <w:i/>
          <w:iCs/>
          <w:sz w:val="20"/>
          <w:szCs w:val="20"/>
        </w:rPr>
        <w:t>a</w:t>
      </w:r>
      <w:r w:rsidRPr="002435AE">
        <w:rPr>
          <w:i/>
          <w:iCs/>
          <w:sz w:val="20"/>
          <w:szCs w:val="20"/>
          <w:vertAlign w:val="subscript"/>
        </w:rPr>
        <w:t>2</w:t>
      </w:r>
      <w:r w:rsidR="00B42823" w:rsidRPr="002435AE">
        <w:rPr>
          <w:sz w:val="20"/>
          <w:szCs w:val="20"/>
        </w:rPr>
        <w:t>: Length of link 2 (mm).</w:t>
      </w:r>
    </w:p>
    <w:p w14:paraId="4B48D2BC" w14:textId="6EAC3239" w:rsidR="00B42823" w:rsidRPr="002435AE" w:rsidRDefault="00653DF4" w:rsidP="002435AE">
      <w:pPr>
        <w:numPr>
          <w:ilvl w:val="0"/>
          <w:numId w:val="1"/>
        </w:numPr>
        <w:rPr>
          <w:sz w:val="20"/>
          <w:szCs w:val="20"/>
        </w:rPr>
      </w:pPr>
      <w:r w:rsidRPr="002435AE">
        <w:rPr>
          <w:i/>
          <w:iCs/>
          <w:sz w:val="20"/>
          <w:szCs w:val="20"/>
        </w:rPr>
        <w:t>d</w:t>
      </w:r>
      <w:r w:rsidRPr="002435AE">
        <w:rPr>
          <w:i/>
          <w:iCs/>
          <w:sz w:val="20"/>
          <w:szCs w:val="20"/>
          <w:vertAlign w:val="subscript"/>
        </w:rPr>
        <w:t>1</w:t>
      </w:r>
      <w:r w:rsidR="00B42823" w:rsidRPr="002435AE">
        <w:rPr>
          <w:sz w:val="20"/>
          <w:szCs w:val="20"/>
        </w:rPr>
        <w:t>: Height of the base supporting link 1 (mm).</w:t>
      </w:r>
    </w:p>
    <w:p w14:paraId="43C94905" w14:textId="5A9A0179" w:rsidR="00B42823" w:rsidRPr="002435AE" w:rsidRDefault="00B42823" w:rsidP="002435AE">
      <w:pPr>
        <w:rPr>
          <w:sz w:val="20"/>
          <w:szCs w:val="20"/>
        </w:rPr>
      </w:pPr>
      <w:r w:rsidRPr="002435AE">
        <w:rPr>
          <w:sz w:val="20"/>
          <w:szCs w:val="20"/>
        </w:rPr>
        <w:t xml:space="preserve">The forward kinematic equations defining the end-effector position coordinates </w:t>
      </w:r>
      <w:r w:rsidR="00653DF4" w:rsidRPr="002435AE">
        <w:rPr>
          <w:sz w:val="20"/>
          <w:szCs w:val="20"/>
        </w:rPr>
        <w:t>(</w:t>
      </w:r>
      <w:r w:rsidR="00653DF4" w:rsidRPr="002435AE">
        <w:rPr>
          <w:i/>
          <w:iCs/>
          <w:sz w:val="20"/>
          <w:szCs w:val="20"/>
        </w:rPr>
        <w:t>P</w:t>
      </w:r>
      <w:r w:rsidR="00653DF4" w:rsidRPr="002435AE">
        <w:rPr>
          <w:i/>
          <w:iCs/>
          <w:sz w:val="20"/>
          <w:szCs w:val="20"/>
          <w:vertAlign w:val="subscript"/>
        </w:rPr>
        <w:t>x</w:t>
      </w:r>
      <w:r w:rsidR="00653DF4" w:rsidRPr="002435AE">
        <w:rPr>
          <w:i/>
          <w:iCs/>
          <w:sz w:val="20"/>
          <w:szCs w:val="20"/>
        </w:rPr>
        <w:t>, P</w:t>
      </w:r>
      <w:r w:rsidR="00653DF4" w:rsidRPr="002435AE">
        <w:rPr>
          <w:i/>
          <w:iCs/>
          <w:sz w:val="20"/>
          <w:szCs w:val="20"/>
          <w:vertAlign w:val="subscript"/>
        </w:rPr>
        <w:t>y</w:t>
      </w:r>
      <w:r w:rsidR="00653DF4" w:rsidRPr="002435AE">
        <w:rPr>
          <w:i/>
          <w:iCs/>
          <w:sz w:val="20"/>
          <w:szCs w:val="20"/>
        </w:rPr>
        <w:t>, P</w:t>
      </w:r>
      <w:r w:rsidR="00653DF4" w:rsidRPr="002435AE">
        <w:rPr>
          <w:i/>
          <w:iCs/>
          <w:sz w:val="20"/>
          <w:szCs w:val="20"/>
          <w:vertAlign w:val="subscript"/>
        </w:rPr>
        <w:t>z</w:t>
      </w:r>
      <w:r w:rsidRPr="002435AE">
        <w:rPr>
          <w:sz w:val="20"/>
          <w:szCs w:val="20"/>
        </w:rPr>
        <w:t>) as functions of the joint variables and link parameters are expressed as follows:</w:t>
      </w:r>
    </w:p>
    <w:p w14:paraId="15565A9A" w14:textId="77777777" w:rsidR="00653DF4" w:rsidRPr="002435AE" w:rsidRDefault="00000000" w:rsidP="002435AE">
      <w:pPr>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x</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cos(</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cos(</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m:t>
          </m:r>
        </m:oMath>
      </m:oMathPara>
    </w:p>
    <w:p w14:paraId="2CDE905A" w14:textId="77777777" w:rsidR="00653DF4" w:rsidRPr="002435AE" w:rsidRDefault="00000000" w:rsidP="002435AE">
      <w:pPr>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y</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sin(</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sin(</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m:t>
          </m:r>
        </m:oMath>
      </m:oMathPara>
    </w:p>
    <w:p w14:paraId="6A8E64FD" w14:textId="534DD0FB" w:rsidR="00653DF4" w:rsidRPr="002435AE" w:rsidRDefault="00000000" w:rsidP="002435AE">
      <w:pPr>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z</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3</m:t>
              </m:r>
            </m:sub>
          </m:sSub>
        </m:oMath>
      </m:oMathPara>
    </w:p>
    <w:p w14:paraId="1C030CAD" w14:textId="77777777" w:rsidR="00B42823" w:rsidRPr="002435AE" w:rsidRDefault="00B42823" w:rsidP="002435AE">
      <w:pPr>
        <w:rPr>
          <w:b/>
          <w:bCs/>
          <w:sz w:val="20"/>
          <w:szCs w:val="20"/>
        </w:rPr>
      </w:pPr>
      <w:r w:rsidRPr="002435AE">
        <w:rPr>
          <w:b/>
          <w:bCs/>
          <w:sz w:val="20"/>
          <w:szCs w:val="20"/>
        </w:rPr>
        <w:t>2.2. Mathematical Model of Positioning Error Induced by Link Dimensional Errors</w:t>
      </w:r>
    </w:p>
    <w:p w14:paraId="3C0A03BE" w14:textId="7968995E" w:rsidR="00B42823" w:rsidRPr="002435AE" w:rsidRDefault="00B42823" w:rsidP="002435AE">
      <w:pPr>
        <w:rPr>
          <w:sz w:val="20"/>
          <w:szCs w:val="20"/>
        </w:rPr>
      </w:pPr>
      <w:r w:rsidRPr="002435AE">
        <w:rPr>
          <w:sz w:val="20"/>
          <w:szCs w:val="20"/>
        </w:rPr>
        <w:t xml:space="preserve">When manufacturing errors occur during mechanical machining, the actual dimensions of the links deviate from their nominal values by corresponding tolerance amounts, denoted as </w:t>
      </w:r>
      <w:r w:rsidR="00653DF4" w:rsidRPr="002435AE">
        <w:rPr>
          <w:i/>
          <w:iCs/>
          <w:sz w:val="20"/>
          <w:szCs w:val="20"/>
        </w:rPr>
        <w:t>δa</w:t>
      </w:r>
      <w:r w:rsidR="00653DF4" w:rsidRPr="002435AE">
        <w:rPr>
          <w:i/>
          <w:iCs/>
          <w:sz w:val="20"/>
          <w:szCs w:val="20"/>
          <w:vertAlign w:val="subscript"/>
        </w:rPr>
        <w:t>1</w:t>
      </w:r>
      <w:r w:rsidR="00653DF4" w:rsidRPr="002435AE">
        <w:rPr>
          <w:i/>
          <w:iCs/>
          <w:sz w:val="20"/>
          <w:szCs w:val="20"/>
        </w:rPr>
        <w:t>, δa</w:t>
      </w:r>
      <w:r w:rsidR="00653DF4" w:rsidRPr="002435AE">
        <w:rPr>
          <w:i/>
          <w:iCs/>
          <w:sz w:val="20"/>
          <w:szCs w:val="20"/>
          <w:vertAlign w:val="subscript"/>
        </w:rPr>
        <w:t>2</w:t>
      </w:r>
      <w:r w:rsidR="00653DF4" w:rsidRPr="002435AE">
        <w:rPr>
          <w:i/>
          <w:iCs/>
          <w:sz w:val="20"/>
          <w:szCs w:val="20"/>
        </w:rPr>
        <w:t>, δd</w:t>
      </w:r>
      <w:r w:rsidR="00653DF4" w:rsidRPr="002435AE">
        <w:rPr>
          <w:i/>
          <w:iCs/>
          <w:sz w:val="20"/>
          <w:szCs w:val="20"/>
          <w:vertAlign w:val="subscript"/>
        </w:rPr>
        <w:t>1</w:t>
      </w:r>
      <w:r w:rsidRPr="002435AE">
        <w:rPr>
          <w:sz w:val="20"/>
          <w:szCs w:val="20"/>
        </w:rPr>
        <w:t>.</w:t>
      </w:r>
    </w:p>
    <w:p w14:paraId="673E6105" w14:textId="4FF3B118" w:rsidR="00B42823" w:rsidRPr="002435AE" w:rsidRDefault="00B42823" w:rsidP="002435AE">
      <w:pPr>
        <w:rPr>
          <w:sz w:val="20"/>
          <w:szCs w:val="20"/>
        </w:rPr>
      </w:pPr>
      <w:r w:rsidRPr="002435AE">
        <w:rPr>
          <w:sz w:val="20"/>
          <w:szCs w:val="20"/>
        </w:rPr>
        <w:t xml:space="preserve">By applying the total differential method to the system of forward kinematic equations, the relationship between the directional positioning errors </w:t>
      </w:r>
      <w:r w:rsidR="00653DF4" w:rsidRPr="002435AE">
        <w:rPr>
          <w:sz w:val="20"/>
          <w:szCs w:val="20"/>
        </w:rPr>
        <w:t>(</w:t>
      </w:r>
      <w:r w:rsidR="00653DF4" w:rsidRPr="002435AE">
        <w:rPr>
          <w:i/>
          <w:iCs/>
          <w:sz w:val="20"/>
          <w:szCs w:val="20"/>
        </w:rPr>
        <w:t>δP</w:t>
      </w:r>
      <w:r w:rsidR="00653DF4" w:rsidRPr="002435AE">
        <w:rPr>
          <w:i/>
          <w:iCs/>
          <w:sz w:val="20"/>
          <w:szCs w:val="20"/>
          <w:vertAlign w:val="subscript"/>
        </w:rPr>
        <w:t>x</w:t>
      </w:r>
      <w:r w:rsidR="00653DF4" w:rsidRPr="002435AE">
        <w:rPr>
          <w:i/>
          <w:iCs/>
          <w:sz w:val="20"/>
          <w:szCs w:val="20"/>
        </w:rPr>
        <w:t>, δP</w:t>
      </w:r>
      <w:r w:rsidR="00653DF4" w:rsidRPr="002435AE">
        <w:rPr>
          <w:i/>
          <w:iCs/>
          <w:sz w:val="20"/>
          <w:szCs w:val="20"/>
          <w:vertAlign w:val="subscript"/>
        </w:rPr>
        <w:t>y</w:t>
      </w:r>
      <w:r w:rsidR="00653DF4" w:rsidRPr="002435AE">
        <w:rPr>
          <w:i/>
          <w:iCs/>
          <w:sz w:val="20"/>
          <w:szCs w:val="20"/>
        </w:rPr>
        <w:t>, δP</w:t>
      </w:r>
      <w:r w:rsidR="00653DF4" w:rsidRPr="002435AE">
        <w:rPr>
          <w:i/>
          <w:iCs/>
          <w:sz w:val="20"/>
          <w:szCs w:val="20"/>
          <w:vertAlign w:val="subscript"/>
        </w:rPr>
        <w:t>z</w:t>
      </w:r>
      <w:r w:rsidRPr="002435AE">
        <w:rPr>
          <w:sz w:val="20"/>
          <w:szCs w:val="20"/>
        </w:rPr>
        <w:t>) and the link dimensional errors is established as follows:</w:t>
      </w:r>
    </w:p>
    <w:p w14:paraId="3B49CC1F" w14:textId="77777777" w:rsidR="00653DF4" w:rsidRPr="002435AE" w:rsidRDefault="00000000" w:rsidP="002435AE">
      <w:pPr>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δP</m:t>
              </m:r>
            </m:e>
            <m:sub>
              <m:r>
                <w:rPr>
                  <w:rFonts w:ascii="Cambria Math" w:hAnsi="Cambria Math"/>
                  <w:sz w:val="20"/>
                  <w:szCs w:val="20"/>
                </w:rPr>
                <m:t>x</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x</m:t>
                  </m:r>
                </m:sub>
              </m:sSub>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den>
          </m:f>
          <m:sSub>
            <m:sSubPr>
              <m:ctrlPr>
                <w:rPr>
                  <w:rFonts w:ascii="Cambria Math" w:hAnsi="Cambria Math"/>
                  <w:sz w:val="20"/>
                  <w:szCs w:val="20"/>
                </w:rPr>
              </m:ctrlPr>
            </m:sSubPr>
            <m:e>
              <m:r>
                <m:rPr>
                  <m:sty m:val="p"/>
                </m:rPr>
                <w:rPr>
                  <w:rFonts w:ascii="Cambria Math" w:hAnsi="Cambria Math"/>
                  <w:sz w:val="20"/>
                  <w:szCs w:val="20"/>
                </w:rPr>
                <m:t>δ</m:t>
              </m:r>
              <m:r>
                <m:rPr>
                  <m:sty m:val="p"/>
                </m:rPr>
                <w:rPr>
                  <w:rFonts w:ascii="Cambria Math" w:hAnsi="Cambria Math"/>
                  <w:sz w:val="20"/>
                  <w:szCs w:val="20"/>
                  <w:vertAlign w:val="subscript"/>
                </w:rPr>
                <m:t>a</m:t>
              </m:r>
            </m:e>
            <m:sub>
              <m:r>
                <w:rPr>
                  <w:rFonts w:ascii="Cambria Math" w:hAnsi="Cambria Math"/>
                  <w:sz w:val="20"/>
                  <w:szCs w:val="20"/>
                </w:rPr>
                <m:t>1</m:t>
              </m:r>
            </m:sub>
          </m:sSub>
          <m:r>
            <m:rPr>
              <m:sty m:val="p"/>
            </m:rP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x</m:t>
                  </m:r>
                </m:sub>
              </m:sSub>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den>
          </m:f>
          <m:sSub>
            <m:sSubPr>
              <m:ctrlPr>
                <w:rPr>
                  <w:rFonts w:ascii="Cambria Math" w:hAnsi="Cambria Math"/>
                  <w:sz w:val="20"/>
                  <w:szCs w:val="20"/>
                </w:rPr>
              </m:ctrlPr>
            </m:sSubPr>
            <m:e>
              <m:r>
                <m:rPr>
                  <m:sty m:val="p"/>
                </m:rPr>
                <w:rPr>
                  <w:rFonts w:ascii="Cambria Math" w:hAnsi="Cambria Math"/>
                  <w:sz w:val="20"/>
                  <w:szCs w:val="20"/>
                </w:rPr>
                <m:t>δ</m:t>
              </m:r>
              <m:r>
                <m:rPr>
                  <m:sty m:val="p"/>
                </m:rPr>
                <w:rPr>
                  <w:rFonts w:ascii="Cambria Math" w:hAnsi="Cambria Math"/>
                  <w:sz w:val="20"/>
                  <w:szCs w:val="20"/>
                  <w:vertAlign w:val="subscript"/>
                </w:rPr>
                <m:t>a</m:t>
              </m:r>
            </m:e>
            <m:sub>
              <m:r>
                <w:rPr>
                  <w:rFonts w:ascii="Cambria Math" w:hAnsi="Cambria Math"/>
                  <w:sz w:val="20"/>
                  <w:szCs w:val="20"/>
                </w:rPr>
                <m:t>2</m:t>
              </m:r>
            </m:sub>
          </m:sSub>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cos</m:t>
              </m:r>
            </m:fName>
            <m:e>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e>
              </m:d>
            </m:e>
          </m:func>
          <m:r>
            <m:rPr>
              <m:sty m:val="p"/>
            </m:rPr>
            <w:rPr>
              <w:rFonts w:ascii="Cambria Math" w:hAnsi="Cambria Math"/>
              <w:sz w:val="20"/>
              <w:szCs w:val="20"/>
            </w:rPr>
            <m:t>δ</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1</m:t>
              </m:r>
            </m:sub>
          </m:sSub>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cos</m:t>
              </m:r>
            </m:fName>
            <m:e>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e>
              </m:d>
            </m:e>
          </m:func>
          <m:r>
            <m:rPr>
              <m:sty m:val="p"/>
            </m:rPr>
            <w:rPr>
              <w:rFonts w:ascii="Cambria Math" w:hAnsi="Cambria Math"/>
              <w:sz w:val="20"/>
              <w:szCs w:val="20"/>
            </w:rPr>
            <m:t>δ</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2</m:t>
              </m:r>
            </m:sub>
          </m:sSub>
        </m:oMath>
      </m:oMathPara>
    </w:p>
    <w:p w14:paraId="1928A1D9" w14:textId="77777777" w:rsidR="00653DF4" w:rsidRPr="002435AE" w:rsidRDefault="00653DF4" w:rsidP="002435AE">
      <w:pPr>
        <w:jc w:val="both"/>
        <w:rPr>
          <w:sz w:val="20"/>
          <w:szCs w:val="20"/>
        </w:rPr>
      </w:pPr>
      <m:oMathPara>
        <m:oMath>
          <m:r>
            <m:rPr>
              <m:sty m:val="p"/>
            </m:rP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δP</m:t>
              </m:r>
            </m:e>
            <m:sub>
              <m:r>
                <w:rPr>
                  <w:rFonts w:ascii="Cambria Math" w:hAnsi="Cambria Math"/>
                  <w:sz w:val="20"/>
                  <w:szCs w:val="20"/>
                </w:rPr>
                <m:t>y</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y</m:t>
                  </m:r>
                </m:sub>
              </m:sSub>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den>
          </m:f>
          <m:sSub>
            <m:sSubPr>
              <m:ctrlPr>
                <w:rPr>
                  <w:rFonts w:ascii="Cambria Math" w:hAnsi="Cambria Math"/>
                  <w:sz w:val="20"/>
                  <w:szCs w:val="20"/>
                </w:rPr>
              </m:ctrlPr>
            </m:sSubPr>
            <m:e>
              <m:r>
                <m:rPr>
                  <m:sty m:val="p"/>
                </m:rPr>
                <w:rPr>
                  <w:rFonts w:ascii="Cambria Math" w:hAnsi="Cambria Math"/>
                  <w:sz w:val="20"/>
                  <w:szCs w:val="20"/>
                </w:rPr>
                <m:t>δ</m:t>
              </m:r>
              <m:r>
                <m:rPr>
                  <m:sty m:val="p"/>
                </m:rPr>
                <w:rPr>
                  <w:rFonts w:ascii="Cambria Math" w:hAnsi="Cambria Math"/>
                  <w:sz w:val="20"/>
                  <w:szCs w:val="20"/>
                  <w:vertAlign w:val="subscript"/>
                </w:rPr>
                <m:t>a</m:t>
              </m:r>
            </m:e>
            <m:sub>
              <m:r>
                <w:rPr>
                  <w:rFonts w:ascii="Cambria Math" w:hAnsi="Cambria Math"/>
                  <w:sz w:val="20"/>
                  <w:szCs w:val="20"/>
                </w:rPr>
                <m:t>1</m:t>
              </m:r>
            </m:sub>
          </m:sSub>
          <m:r>
            <m:rPr>
              <m:sty m:val="p"/>
            </m:rP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y</m:t>
                  </m:r>
                </m:sub>
              </m:sSub>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den>
          </m:f>
          <m:sSub>
            <m:sSubPr>
              <m:ctrlPr>
                <w:rPr>
                  <w:rFonts w:ascii="Cambria Math" w:hAnsi="Cambria Math"/>
                  <w:sz w:val="20"/>
                  <w:szCs w:val="20"/>
                </w:rPr>
              </m:ctrlPr>
            </m:sSubPr>
            <m:e>
              <m:r>
                <m:rPr>
                  <m:sty m:val="p"/>
                </m:rPr>
                <w:rPr>
                  <w:rFonts w:ascii="Cambria Math" w:hAnsi="Cambria Math"/>
                  <w:sz w:val="20"/>
                  <w:szCs w:val="20"/>
                </w:rPr>
                <m:t>δ</m:t>
              </m:r>
              <m:r>
                <m:rPr>
                  <m:sty m:val="p"/>
                </m:rPr>
                <w:rPr>
                  <w:rFonts w:ascii="Cambria Math" w:hAnsi="Cambria Math"/>
                  <w:sz w:val="20"/>
                  <w:szCs w:val="20"/>
                  <w:vertAlign w:val="subscript"/>
                </w:rPr>
                <m:t>a</m:t>
              </m:r>
            </m:e>
            <m:sub>
              <m:r>
                <w:rPr>
                  <w:rFonts w:ascii="Cambria Math" w:hAnsi="Cambria Math"/>
                  <w:sz w:val="20"/>
                  <w:szCs w:val="20"/>
                </w:rPr>
                <m:t>2</m:t>
              </m:r>
            </m:sub>
          </m:sSub>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e>
              </m:d>
            </m:e>
          </m:func>
          <m:r>
            <m:rPr>
              <m:sty m:val="p"/>
            </m:rPr>
            <w:rPr>
              <w:rFonts w:ascii="Cambria Math" w:hAnsi="Cambria Math"/>
              <w:sz w:val="20"/>
              <w:szCs w:val="20"/>
            </w:rPr>
            <m:t>δ</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1</m:t>
              </m:r>
            </m:sub>
          </m:sSub>
          <m:r>
            <m:rPr>
              <m:sty m:val="p"/>
            </m:rPr>
            <w:rPr>
              <w:rFonts w:ascii="Cambria Math" w:hAnsi="Cambria Math"/>
              <w:sz w:val="20"/>
              <w:szCs w:val="20"/>
            </w:rPr>
            <m:t>+</m:t>
          </m:r>
          <m:func>
            <m:funcPr>
              <m:ctrlPr>
                <w:rPr>
                  <w:rFonts w:ascii="Cambria Math" w:hAnsi="Cambria Math"/>
                  <w:sz w:val="20"/>
                  <w:szCs w:val="20"/>
                </w:rPr>
              </m:ctrlPr>
            </m:funcPr>
            <m:fName>
              <m:r>
                <m:rPr>
                  <m:sty m:val="p"/>
                </m:rPr>
                <w:rPr>
                  <w:rFonts w:ascii="Cambria Math" w:hAnsi="Cambria Math"/>
                  <w:sz w:val="20"/>
                  <w:szCs w:val="20"/>
                </w:rPr>
                <m:t>sin</m:t>
              </m:r>
            </m:fName>
            <m:e>
              <m:d>
                <m:dPr>
                  <m:ctrlPr>
                    <w:rPr>
                      <w:rFonts w:ascii="Cambria Math" w:hAnsi="Cambria Math"/>
                      <w:sz w:val="20"/>
                      <w:szCs w:val="20"/>
                    </w:rPr>
                  </m:ctrlPr>
                </m:dPr>
                <m:e>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e>
              </m:d>
            </m:e>
          </m:func>
          <m:r>
            <m:rPr>
              <m:sty m:val="p"/>
            </m:rPr>
            <w:rPr>
              <w:rFonts w:ascii="Cambria Math" w:hAnsi="Cambria Math"/>
              <w:sz w:val="20"/>
              <w:szCs w:val="20"/>
            </w:rPr>
            <m:t>δ</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2</m:t>
              </m:r>
            </m:sub>
          </m:sSub>
        </m:oMath>
      </m:oMathPara>
    </w:p>
    <w:p w14:paraId="46D5BA7A" w14:textId="77777777" w:rsidR="00653DF4" w:rsidRPr="002435AE" w:rsidRDefault="00000000" w:rsidP="002435AE">
      <w:pPr>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δP</m:t>
              </m:r>
            </m:e>
            <m:sub>
              <m:r>
                <w:rPr>
                  <w:rFonts w:ascii="Cambria Math" w:hAnsi="Cambria Math"/>
                  <w:sz w:val="20"/>
                  <w:szCs w:val="20"/>
                </w:rPr>
                <m:t>z</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z</m:t>
                  </m:r>
                </m:sub>
              </m:sSub>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1</m:t>
                  </m:r>
                </m:sub>
              </m:sSub>
            </m:den>
          </m:f>
          <m:sSub>
            <m:sSubPr>
              <m:ctrlPr>
                <w:rPr>
                  <w:rFonts w:ascii="Cambria Math" w:hAnsi="Cambria Math"/>
                  <w:sz w:val="20"/>
                  <w:szCs w:val="20"/>
                </w:rPr>
              </m:ctrlPr>
            </m:sSubPr>
            <m:e>
              <m:r>
                <m:rPr>
                  <m:sty m:val="p"/>
                </m:rPr>
                <w:rPr>
                  <w:rFonts w:ascii="Cambria Math" w:hAnsi="Cambria Math"/>
                  <w:sz w:val="20"/>
                  <w:szCs w:val="20"/>
                </w:rPr>
                <m:t>δ</m:t>
              </m:r>
              <m:r>
                <m:rPr>
                  <m:sty m:val="p"/>
                </m:rPr>
                <w:rPr>
                  <w:rFonts w:ascii="Cambria Math" w:hAnsi="Cambria Math"/>
                  <w:sz w:val="20"/>
                  <w:szCs w:val="20"/>
                  <w:vertAlign w:val="subscript"/>
                </w:rPr>
                <m:t>d</m:t>
              </m:r>
            </m:e>
            <m:sub>
              <m:r>
                <w:rPr>
                  <w:rFonts w:ascii="Cambria Math" w:hAnsi="Cambria Math"/>
                  <w:sz w:val="20"/>
                  <w:szCs w:val="20"/>
                </w:rPr>
                <m:t>1</m:t>
              </m:r>
            </m:sub>
          </m:sSub>
          <m:r>
            <m:rPr>
              <m:sty m:val="p"/>
            </m:rPr>
            <w:rPr>
              <w:rFonts w:ascii="Cambria Math" w:hAnsi="Cambria Math"/>
              <w:sz w:val="20"/>
              <w:szCs w:val="20"/>
            </w:rPr>
            <m:t>=δ</m:t>
          </m:r>
          <m:sSub>
            <m:sSubPr>
              <m:ctrlPr>
                <w:rPr>
                  <w:rFonts w:ascii="Cambria Math" w:hAnsi="Cambria Math"/>
                  <w:sz w:val="20"/>
                  <w:szCs w:val="20"/>
                </w:rPr>
              </m:ctrlPr>
            </m:sSubPr>
            <m:e>
              <m:r>
                <w:rPr>
                  <w:rFonts w:ascii="Cambria Math" w:hAnsi="Cambria Math"/>
                  <w:sz w:val="20"/>
                  <w:szCs w:val="20"/>
                </w:rPr>
                <m:t>d</m:t>
              </m:r>
            </m:e>
            <m:sub>
              <m:r>
                <w:rPr>
                  <w:rFonts w:ascii="Cambria Math" w:hAnsi="Cambria Math"/>
                  <w:sz w:val="20"/>
                  <w:szCs w:val="20"/>
                </w:rPr>
                <m:t>1</m:t>
              </m:r>
            </m:sub>
          </m:sSub>
        </m:oMath>
      </m:oMathPara>
    </w:p>
    <w:p w14:paraId="0FC14612" w14:textId="77777777" w:rsidR="00653DF4" w:rsidRPr="002435AE" w:rsidRDefault="00653DF4" w:rsidP="002435AE">
      <w:pPr>
        <w:rPr>
          <w:sz w:val="20"/>
          <w:szCs w:val="20"/>
        </w:rPr>
      </w:pPr>
    </w:p>
    <w:p w14:paraId="5F1CE437" w14:textId="5DFC94B7" w:rsidR="00B42823" w:rsidRPr="002435AE" w:rsidRDefault="00B42823" w:rsidP="002435AE">
      <w:pPr>
        <w:rPr>
          <w:sz w:val="20"/>
          <w:szCs w:val="20"/>
        </w:rPr>
      </w:pPr>
      <w:r w:rsidRPr="002435AE">
        <w:rPr>
          <w:sz w:val="20"/>
          <w:szCs w:val="20"/>
        </w:rPr>
        <w:t xml:space="preserve">The cumulative positioning error at the end-effector </w:t>
      </w:r>
      <w:r w:rsidR="00653DF4" w:rsidRPr="002435AE">
        <w:rPr>
          <w:sz w:val="20"/>
          <w:szCs w:val="20"/>
        </w:rPr>
        <w:t>(</w:t>
      </w:r>
      <w:r w:rsidR="00653DF4" w:rsidRPr="002435AE">
        <w:rPr>
          <w:i/>
          <w:iCs/>
          <w:sz w:val="20"/>
          <w:szCs w:val="20"/>
        </w:rPr>
        <w:t>δR</w:t>
      </w:r>
      <w:r w:rsidRPr="002435AE">
        <w:rPr>
          <w:sz w:val="20"/>
          <w:szCs w:val="20"/>
        </w:rPr>
        <w:t>) is determined using the spatial geometric formula:</w:t>
      </w:r>
    </w:p>
    <w:p w14:paraId="55371893" w14:textId="6CC44DA4" w:rsidR="00653DF4" w:rsidRPr="002435AE" w:rsidRDefault="00653DF4" w:rsidP="002435AE">
      <w:pPr>
        <w:jc w:val="both"/>
        <w:rPr>
          <w:sz w:val="20"/>
          <w:szCs w:val="20"/>
        </w:rPr>
      </w:pPr>
      <m:oMathPara>
        <m:oMath>
          <m:r>
            <m:rPr>
              <m:sty m:val="p"/>
            </m:rPr>
            <w:rPr>
              <w:rFonts w:ascii="Cambria Math" w:hAnsi="Cambria Math"/>
              <w:sz w:val="20"/>
              <w:szCs w:val="20"/>
            </w:rPr>
            <m:t>δR =</m:t>
          </m:r>
          <m:rad>
            <m:radPr>
              <m:degHide m:val="1"/>
              <m:ctrlPr>
                <w:rPr>
                  <w:rFonts w:ascii="Cambria Math" w:hAnsi="Cambria Math"/>
                  <w:sz w:val="20"/>
                  <w:szCs w:val="20"/>
                </w:rPr>
              </m:ctrlPr>
            </m:radPr>
            <m:deg/>
            <m:e>
              <m:sSubSup>
                <m:sSubSupPr>
                  <m:ctrlPr>
                    <w:rPr>
                      <w:rFonts w:ascii="Cambria Math" w:hAnsi="Cambria Math"/>
                      <w:i/>
                      <w:sz w:val="20"/>
                      <w:szCs w:val="20"/>
                    </w:rPr>
                  </m:ctrlPr>
                </m:sSubSupPr>
                <m:e>
                  <m:r>
                    <w:rPr>
                      <w:rFonts w:ascii="Cambria Math" w:hAnsi="Cambria Math"/>
                      <w:sz w:val="20"/>
                      <w:szCs w:val="20"/>
                    </w:rPr>
                    <m:t>δP</m:t>
                  </m:r>
                </m:e>
                <m:sub>
                  <m:r>
                    <w:rPr>
                      <w:rFonts w:ascii="Cambria Math" w:hAnsi="Cambria Math"/>
                      <w:sz w:val="20"/>
                      <w:szCs w:val="20"/>
                    </w:rPr>
                    <m:t>x</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δP</m:t>
                  </m:r>
                </m:e>
                <m:sub>
                  <m:r>
                    <w:rPr>
                      <w:rFonts w:ascii="Cambria Math" w:hAnsi="Cambria Math"/>
                      <w:sz w:val="20"/>
                      <w:szCs w:val="20"/>
                    </w:rPr>
                    <m:t>y</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δP</m:t>
                  </m:r>
                </m:e>
                <m:sub>
                  <m:r>
                    <w:rPr>
                      <w:rFonts w:ascii="Cambria Math" w:hAnsi="Cambria Math"/>
                      <w:sz w:val="20"/>
                      <w:szCs w:val="20"/>
                    </w:rPr>
                    <m:t>z</m:t>
                  </m:r>
                </m:sub>
                <m:sup>
                  <m:r>
                    <w:rPr>
                      <w:rFonts w:ascii="Cambria Math" w:hAnsi="Cambria Math"/>
                      <w:sz w:val="20"/>
                      <w:szCs w:val="20"/>
                    </w:rPr>
                    <m:t>2</m:t>
                  </m:r>
                </m:sup>
              </m:sSubSup>
            </m:e>
          </m:rad>
        </m:oMath>
      </m:oMathPara>
    </w:p>
    <w:p w14:paraId="726C054B" w14:textId="77777777" w:rsidR="00B42823" w:rsidRPr="002435AE" w:rsidRDefault="00B42823" w:rsidP="002435AE">
      <w:pPr>
        <w:rPr>
          <w:sz w:val="20"/>
          <w:szCs w:val="20"/>
        </w:rPr>
      </w:pPr>
      <w:r w:rsidRPr="002435AE">
        <w:rPr>
          <w:sz w:val="20"/>
          <w:szCs w:val="20"/>
        </w:rPr>
        <w:t>To investigate the individual error contribution levels, this study isolates each link by setting its error to the maximum allowable value within the tolerance zone, while assuming the remaining links are ideal (with zero error).</w:t>
      </w:r>
    </w:p>
    <w:p w14:paraId="56A81569" w14:textId="77777777" w:rsidR="00B42823" w:rsidRPr="002435AE" w:rsidRDefault="00B42823" w:rsidP="002435AE">
      <w:pPr>
        <w:rPr>
          <w:b/>
          <w:bCs/>
          <w:sz w:val="20"/>
          <w:szCs w:val="20"/>
        </w:rPr>
      </w:pPr>
      <w:r w:rsidRPr="002435AE">
        <w:rPr>
          <w:b/>
          <w:bCs/>
          <w:sz w:val="20"/>
          <w:szCs w:val="20"/>
        </w:rPr>
        <w:t>3. SIMULATION COMPUTATION AND DISCUSSION</w:t>
      </w:r>
    </w:p>
    <w:p w14:paraId="094A436D" w14:textId="628D5859" w:rsidR="00B42823" w:rsidRPr="002435AE" w:rsidRDefault="00B42823" w:rsidP="002435AE">
      <w:pPr>
        <w:rPr>
          <w:sz w:val="20"/>
          <w:szCs w:val="20"/>
        </w:rPr>
      </w:pPr>
      <w:r w:rsidRPr="002435AE">
        <w:rPr>
          <w:sz w:val="20"/>
          <w:szCs w:val="20"/>
        </w:rPr>
        <w:t xml:space="preserve">To provide a visual illustration, this study conducts an investigation on a commercial SCARA robot with nominal dimensional parameters similar to the Epson G3 series, specified as follows: </w:t>
      </w:r>
      <w:r w:rsidR="00026A28" w:rsidRPr="002435AE">
        <w:rPr>
          <w:i/>
          <w:iCs/>
          <w:sz w:val="20"/>
          <w:szCs w:val="20"/>
        </w:rPr>
        <w:t>a</w:t>
      </w:r>
      <w:r w:rsidR="00026A28" w:rsidRPr="002435AE">
        <w:rPr>
          <w:i/>
          <w:iCs/>
          <w:sz w:val="20"/>
          <w:szCs w:val="20"/>
          <w:vertAlign w:val="subscript"/>
        </w:rPr>
        <w:t>1</w:t>
      </w:r>
      <w:r w:rsidR="00026A28" w:rsidRPr="002435AE">
        <w:rPr>
          <w:i/>
          <w:iCs/>
          <w:sz w:val="20"/>
          <w:szCs w:val="20"/>
        </w:rPr>
        <w:t xml:space="preserve"> = 250 mm; a</w:t>
      </w:r>
      <w:r w:rsidR="00026A28" w:rsidRPr="002435AE">
        <w:rPr>
          <w:i/>
          <w:iCs/>
          <w:sz w:val="20"/>
          <w:szCs w:val="20"/>
          <w:vertAlign w:val="subscript"/>
        </w:rPr>
        <w:t>2</w:t>
      </w:r>
      <w:r w:rsidR="00026A28" w:rsidRPr="002435AE">
        <w:rPr>
          <w:i/>
          <w:iCs/>
          <w:sz w:val="20"/>
          <w:szCs w:val="20"/>
        </w:rPr>
        <w:t xml:space="preserve"> = 150 mm; d</w:t>
      </w:r>
      <w:r w:rsidR="00026A28" w:rsidRPr="002435AE">
        <w:rPr>
          <w:i/>
          <w:iCs/>
          <w:sz w:val="20"/>
          <w:szCs w:val="20"/>
          <w:vertAlign w:val="subscript"/>
        </w:rPr>
        <w:t>1</w:t>
      </w:r>
      <w:r w:rsidR="00026A28" w:rsidRPr="002435AE">
        <w:rPr>
          <w:i/>
          <w:iCs/>
          <w:sz w:val="20"/>
          <w:szCs w:val="20"/>
        </w:rPr>
        <w:t xml:space="preserve"> = 300 mm.</w:t>
      </w:r>
    </w:p>
    <w:p w14:paraId="01095DC1" w14:textId="77777777" w:rsidR="00B42823" w:rsidRPr="002435AE" w:rsidRDefault="00B42823" w:rsidP="002435AE">
      <w:pPr>
        <w:rPr>
          <w:sz w:val="20"/>
          <w:szCs w:val="20"/>
        </w:rPr>
      </w:pPr>
      <w:r w:rsidRPr="002435AE">
        <w:rPr>
          <w:sz w:val="20"/>
          <w:szCs w:val="20"/>
        </w:rPr>
        <w:t>The mechanical manufacturing accuracy grade is assumed according to the ISO IT11 standard. Accordingly, the maximum allowable manufacturing tolerance for each link is determined as follows:</w:t>
      </w:r>
    </w:p>
    <w:p w14:paraId="76634EA5" w14:textId="77777777" w:rsidR="00026A28" w:rsidRPr="002435AE" w:rsidRDefault="00000000" w:rsidP="002435AE">
      <w:pPr>
        <w:numPr>
          <w:ilvl w:val="0"/>
          <w:numId w:val="5"/>
        </w:num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δ</m:t>
            </m:r>
            <m:r>
              <w:rPr>
                <w:rFonts w:ascii="Cambria Math" w:hAnsi="Cambria Math"/>
                <w:sz w:val="20"/>
                <w:szCs w:val="20"/>
              </w:rPr>
              <m:t>a</m:t>
            </m:r>
          </m:e>
          <m:sub>
            <m:r>
              <m:rPr>
                <m:sty m:val="p"/>
              </m:rPr>
              <w:rPr>
                <w:rFonts w:ascii="Cambria Math" w:hAnsi="Cambria Math"/>
                <w:sz w:val="20"/>
                <w:szCs w:val="20"/>
                <w:vertAlign w:val="subscript"/>
              </w:rPr>
              <m:t>1</m:t>
            </m:r>
          </m:sub>
        </m:sSub>
        <m:r>
          <w:rPr>
            <w:rFonts w:ascii="Cambria Math" w:hAnsi="Cambria Math"/>
            <w:sz w:val="20"/>
            <w:szCs w:val="20"/>
          </w:rPr>
          <m:t xml:space="preserve"> =± 0.130</m:t>
        </m:r>
        <m:r>
          <m:rPr>
            <m:sty m:val="p"/>
          </m:rPr>
          <w:rPr>
            <w:rFonts w:ascii="Cambria Math" w:hAnsi="Cambria Math"/>
            <w:sz w:val="20"/>
            <w:szCs w:val="20"/>
          </w:rPr>
          <m:t xml:space="preserve">  mm</m:t>
        </m:r>
      </m:oMath>
    </w:p>
    <w:p w14:paraId="5ACD06A0" w14:textId="77777777" w:rsidR="00026A28" w:rsidRPr="002435AE" w:rsidRDefault="00026A28" w:rsidP="002435AE">
      <w:pPr>
        <w:numPr>
          <w:ilvl w:val="0"/>
          <w:numId w:val="5"/>
        </w:numPr>
        <w:jc w:val="both"/>
        <w:rPr>
          <w:sz w:val="20"/>
          <w:szCs w:val="20"/>
        </w:rPr>
      </w:pPr>
      <w:r w:rsidRPr="002435AE">
        <w:rPr>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δ</m:t>
            </m:r>
            <m:r>
              <w:rPr>
                <w:rFonts w:ascii="Cambria Math" w:hAnsi="Cambria Math"/>
                <w:sz w:val="20"/>
                <w:szCs w:val="20"/>
              </w:rPr>
              <m:t>a</m:t>
            </m:r>
          </m:e>
          <m:sub>
            <m:r>
              <m:rPr>
                <m:sty m:val="p"/>
              </m:rPr>
              <w:rPr>
                <w:rFonts w:ascii="Cambria Math" w:hAnsi="Cambria Math"/>
                <w:sz w:val="20"/>
                <w:szCs w:val="20"/>
                <w:vertAlign w:val="subscript"/>
              </w:rPr>
              <m:t>2</m:t>
            </m:r>
          </m:sub>
        </m:sSub>
        <m:r>
          <w:rPr>
            <w:rFonts w:ascii="Cambria Math" w:hAnsi="Cambria Math"/>
            <w:sz w:val="20"/>
            <w:szCs w:val="20"/>
          </w:rPr>
          <m:t xml:space="preserve"> =± 0.090</m:t>
        </m:r>
        <m:r>
          <m:rPr>
            <m:sty m:val="p"/>
          </m:rPr>
          <w:rPr>
            <w:rFonts w:ascii="Cambria Math" w:hAnsi="Cambria Math"/>
            <w:sz w:val="20"/>
            <w:szCs w:val="20"/>
          </w:rPr>
          <m:t xml:space="preserve">  mm</m:t>
        </m:r>
      </m:oMath>
    </w:p>
    <w:p w14:paraId="06841D8B" w14:textId="77777777" w:rsidR="00026A28" w:rsidRPr="002435AE" w:rsidRDefault="00026A28" w:rsidP="002435AE">
      <w:pPr>
        <w:numPr>
          <w:ilvl w:val="0"/>
          <w:numId w:val="5"/>
        </w:numPr>
        <w:jc w:val="both"/>
        <w:rPr>
          <w:sz w:val="20"/>
          <w:szCs w:val="20"/>
        </w:rPr>
      </w:pPr>
      <w:r w:rsidRPr="002435AE">
        <w:rPr>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δ</m:t>
            </m:r>
            <m:r>
              <w:rPr>
                <w:rFonts w:ascii="Cambria Math" w:hAnsi="Cambria Math"/>
                <w:sz w:val="20"/>
                <w:szCs w:val="20"/>
              </w:rPr>
              <m:t>d</m:t>
            </m:r>
          </m:e>
          <m:sub>
            <m:r>
              <m:rPr>
                <m:sty m:val="p"/>
              </m:rPr>
              <w:rPr>
                <w:rFonts w:ascii="Cambria Math" w:hAnsi="Cambria Math"/>
                <w:sz w:val="20"/>
                <w:szCs w:val="20"/>
                <w:vertAlign w:val="subscript"/>
              </w:rPr>
              <m:t>1</m:t>
            </m:r>
          </m:sub>
        </m:sSub>
        <m:r>
          <w:rPr>
            <w:rFonts w:ascii="Cambria Math" w:hAnsi="Cambria Math"/>
            <w:sz w:val="20"/>
            <w:szCs w:val="20"/>
          </w:rPr>
          <m:t xml:space="preserve"> =± 0.130</m:t>
        </m:r>
        <m:r>
          <m:rPr>
            <m:sty m:val="p"/>
          </m:rPr>
          <w:rPr>
            <w:rFonts w:ascii="Cambria Math" w:hAnsi="Cambria Math"/>
            <w:sz w:val="20"/>
            <w:szCs w:val="20"/>
          </w:rPr>
          <m:t xml:space="preserve">  mm</m:t>
        </m:r>
      </m:oMath>
    </w:p>
    <w:p w14:paraId="53EF85AB" w14:textId="77777777" w:rsidR="00026A28" w:rsidRPr="002435AE" w:rsidRDefault="00B42823" w:rsidP="002435AE">
      <w:pPr>
        <w:rPr>
          <w:i/>
          <w:iCs/>
          <w:sz w:val="20"/>
          <w:szCs w:val="20"/>
        </w:rPr>
      </w:pPr>
      <w:r w:rsidRPr="002435AE">
        <w:rPr>
          <w:sz w:val="20"/>
          <w:szCs w:val="20"/>
        </w:rPr>
        <w:lastRenderedPageBreak/>
        <w:t xml:space="preserve">The investigation is carried out at a central operating point within the robot's workspace, with a specific joint configuration defined by: </w:t>
      </w:r>
      <w:r w:rsidR="00026A28" w:rsidRPr="002435AE">
        <w:rPr>
          <w:i/>
          <w:iCs/>
          <w:sz w:val="20"/>
          <w:szCs w:val="20"/>
        </w:rPr>
        <w:t>q</w:t>
      </w:r>
      <w:r w:rsidR="00026A28" w:rsidRPr="002435AE">
        <w:rPr>
          <w:i/>
          <w:iCs/>
          <w:sz w:val="20"/>
          <w:szCs w:val="20"/>
          <w:vertAlign w:val="subscript"/>
        </w:rPr>
        <w:t>1</w:t>
      </w:r>
      <w:r w:rsidR="00026A28" w:rsidRPr="002435AE">
        <w:rPr>
          <w:i/>
          <w:iCs/>
          <w:sz w:val="20"/>
          <w:szCs w:val="20"/>
        </w:rPr>
        <w:t xml:space="preserve"> = 30</w:t>
      </w:r>
      <w:r w:rsidR="00026A28" w:rsidRPr="002435AE">
        <w:rPr>
          <w:i/>
          <w:iCs/>
          <w:sz w:val="20"/>
          <w:szCs w:val="20"/>
          <w:vertAlign w:val="superscript"/>
        </w:rPr>
        <w:t>0</w:t>
      </w:r>
      <w:r w:rsidR="00026A28" w:rsidRPr="002435AE">
        <w:rPr>
          <w:i/>
          <w:iCs/>
          <w:sz w:val="20"/>
          <w:szCs w:val="20"/>
        </w:rPr>
        <w:t>,  q</w:t>
      </w:r>
      <w:r w:rsidR="00026A28" w:rsidRPr="002435AE">
        <w:rPr>
          <w:i/>
          <w:iCs/>
          <w:sz w:val="20"/>
          <w:szCs w:val="20"/>
          <w:vertAlign w:val="subscript"/>
        </w:rPr>
        <w:t>2</w:t>
      </w:r>
      <w:r w:rsidR="00026A28" w:rsidRPr="002435AE">
        <w:rPr>
          <w:i/>
          <w:iCs/>
          <w:sz w:val="20"/>
          <w:szCs w:val="20"/>
        </w:rPr>
        <w:t xml:space="preserve"> = 45</w:t>
      </w:r>
      <w:r w:rsidR="00026A28" w:rsidRPr="002435AE">
        <w:rPr>
          <w:i/>
          <w:iCs/>
          <w:sz w:val="20"/>
          <w:szCs w:val="20"/>
          <w:vertAlign w:val="superscript"/>
        </w:rPr>
        <w:t>0</w:t>
      </w:r>
      <w:r w:rsidR="00026A28" w:rsidRPr="002435AE">
        <w:rPr>
          <w:i/>
          <w:iCs/>
          <w:sz w:val="20"/>
          <w:szCs w:val="20"/>
        </w:rPr>
        <w:t>, q</w:t>
      </w:r>
      <w:r w:rsidR="00026A28" w:rsidRPr="002435AE">
        <w:rPr>
          <w:i/>
          <w:iCs/>
          <w:sz w:val="20"/>
          <w:szCs w:val="20"/>
          <w:vertAlign w:val="subscript"/>
        </w:rPr>
        <w:t>3</w:t>
      </w:r>
      <w:r w:rsidR="00026A28" w:rsidRPr="002435AE">
        <w:rPr>
          <w:i/>
          <w:iCs/>
          <w:sz w:val="20"/>
          <w:szCs w:val="20"/>
        </w:rPr>
        <w:t xml:space="preserve"> = 50 mm.</w:t>
      </w:r>
    </w:p>
    <w:p w14:paraId="44C5302F" w14:textId="48E9FF2F" w:rsidR="00B42823" w:rsidRPr="002435AE" w:rsidRDefault="00B42823" w:rsidP="002435AE">
      <w:pPr>
        <w:rPr>
          <w:sz w:val="20"/>
          <w:szCs w:val="20"/>
        </w:rPr>
      </w:pPr>
      <w:r w:rsidRPr="002435AE">
        <w:rPr>
          <w:sz w:val="20"/>
          <w:szCs w:val="20"/>
        </w:rPr>
        <w:t>By utilizing the numerical computation tools within a specialized software (MATLAB), the individual impacts of each link error on the end-effector position deviation are detailed in Table 1 and visualized in Figure 2.</w:t>
      </w:r>
    </w:p>
    <w:p w14:paraId="5BD64926" w14:textId="77777777" w:rsidR="00B42823" w:rsidRPr="002435AE" w:rsidRDefault="00B42823" w:rsidP="002435AE">
      <w:pPr>
        <w:jc w:val="center"/>
        <w:rPr>
          <w:sz w:val="20"/>
          <w:szCs w:val="20"/>
        </w:rPr>
      </w:pPr>
      <w:r w:rsidRPr="002435AE">
        <w:rPr>
          <w:b/>
          <w:bCs/>
          <w:sz w:val="20"/>
          <w:szCs w:val="20"/>
        </w:rPr>
        <w:t>Table 1.</w:t>
      </w:r>
      <w:r w:rsidRPr="002435AE">
        <w:rPr>
          <w:sz w:val="20"/>
          <w:szCs w:val="20"/>
        </w:rPr>
        <w:t xml:space="preserve"> End-effector position deviations induced by manufacturing errors of individual links.</w:t>
      </w:r>
    </w:p>
    <w:tbl>
      <w:tblPr>
        <w:tblStyle w:val="TableGrid"/>
        <w:tblW w:w="0" w:type="auto"/>
        <w:tblLook w:val="04A0" w:firstRow="1" w:lastRow="0" w:firstColumn="1" w:lastColumn="0" w:noHBand="0" w:noVBand="1"/>
      </w:tblPr>
      <w:tblGrid>
        <w:gridCol w:w="2325"/>
        <w:gridCol w:w="1540"/>
        <w:gridCol w:w="900"/>
        <w:gridCol w:w="990"/>
        <w:gridCol w:w="900"/>
        <w:gridCol w:w="1890"/>
      </w:tblGrid>
      <w:tr w:rsidR="00026A28" w:rsidRPr="002435AE" w14:paraId="66B94FA0" w14:textId="77777777" w:rsidTr="00FB19F1">
        <w:tc>
          <w:tcPr>
            <w:tcW w:w="2325" w:type="dxa"/>
            <w:vAlign w:val="center"/>
          </w:tcPr>
          <w:p w14:paraId="6B79024E" w14:textId="14F16F2B" w:rsidR="00026A28" w:rsidRPr="002435AE" w:rsidRDefault="00026A28" w:rsidP="00841DE5">
            <w:pPr>
              <w:jc w:val="center"/>
              <w:rPr>
                <w:b/>
                <w:bCs/>
                <w:sz w:val="20"/>
                <w:szCs w:val="20"/>
              </w:rPr>
            </w:pPr>
            <w:r w:rsidRPr="002435AE">
              <w:rPr>
                <w:b/>
                <w:bCs/>
                <w:sz w:val="20"/>
                <w:szCs w:val="20"/>
              </w:rPr>
              <w:t>Investigated Link with Error</w:t>
            </w:r>
          </w:p>
        </w:tc>
        <w:tc>
          <w:tcPr>
            <w:tcW w:w="1540" w:type="dxa"/>
            <w:vAlign w:val="center"/>
          </w:tcPr>
          <w:p w14:paraId="1C5A5137" w14:textId="52E13274" w:rsidR="00026A28" w:rsidRPr="002435AE" w:rsidRDefault="00026A28" w:rsidP="00841DE5">
            <w:pPr>
              <w:jc w:val="center"/>
              <w:rPr>
                <w:b/>
                <w:bCs/>
                <w:sz w:val="20"/>
                <w:szCs w:val="20"/>
              </w:rPr>
            </w:pPr>
            <w:r w:rsidRPr="002435AE">
              <w:rPr>
                <w:b/>
                <w:bCs/>
                <w:sz w:val="20"/>
                <w:szCs w:val="20"/>
              </w:rPr>
              <w:t>Link Error Amount (mm)</w:t>
            </w:r>
          </w:p>
        </w:tc>
        <w:tc>
          <w:tcPr>
            <w:tcW w:w="900" w:type="dxa"/>
            <w:vAlign w:val="center"/>
          </w:tcPr>
          <w:p w14:paraId="4FEA6D97" w14:textId="77777777" w:rsidR="00026A28" w:rsidRPr="002435AE" w:rsidRDefault="00026A28" w:rsidP="00841DE5">
            <w:pPr>
              <w:jc w:val="center"/>
              <w:rPr>
                <w:b/>
                <w:bCs/>
                <w:sz w:val="20"/>
                <w:szCs w:val="20"/>
              </w:rPr>
            </w:pPr>
            <w:r w:rsidRPr="002435AE">
              <w:rPr>
                <w:b/>
                <w:bCs/>
                <w:sz w:val="20"/>
                <w:szCs w:val="20"/>
              </w:rPr>
              <w:t>δPx​ (mm)</w:t>
            </w:r>
          </w:p>
        </w:tc>
        <w:tc>
          <w:tcPr>
            <w:tcW w:w="990" w:type="dxa"/>
            <w:vAlign w:val="center"/>
          </w:tcPr>
          <w:p w14:paraId="6F7B260D" w14:textId="77777777" w:rsidR="00026A28" w:rsidRPr="002435AE" w:rsidRDefault="00026A28" w:rsidP="00841DE5">
            <w:pPr>
              <w:jc w:val="center"/>
              <w:rPr>
                <w:b/>
                <w:bCs/>
                <w:sz w:val="20"/>
                <w:szCs w:val="20"/>
              </w:rPr>
            </w:pPr>
            <w:r w:rsidRPr="002435AE">
              <w:rPr>
                <w:b/>
                <w:bCs/>
                <w:sz w:val="20"/>
                <w:szCs w:val="20"/>
              </w:rPr>
              <w:t>δPy​ (mm)</w:t>
            </w:r>
          </w:p>
        </w:tc>
        <w:tc>
          <w:tcPr>
            <w:tcW w:w="900" w:type="dxa"/>
            <w:vAlign w:val="center"/>
          </w:tcPr>
          <w:p w14:paraId="626FA5A6" w14:textId="77777777" w:rsidR="00026A28" w:rsidRPr="002435AE" w:rsidRDefault="00026A28" w:rsidP="00841DE5">
            <w:pPr>
              <w:jc w:val="center"/>
              <w:rPr>
                <w:b/>
                <w:bCs/>
                <w:sz w:val="20"/>
                <w:szCs w:val="20"/>
              </w:rPr>
            </w:pPr>
            <w:r w:rsidRPr="002435AE">
              <w:rPr>
                <w:b/>
                <w:bCs/>
                <w:sz w:val="20"/>
                <w:szCs w:val="20"/>
              </w:rPr>
              <w:t>δPz​ (mm)</w:t>
            </w:r>
          </w:p>
        </w:tc>
        <w:tc>
          <w:tcPr>
            <w:tcW w:w="1890" w:type="dxa"/>
            <w:vAlign w:val="center"/>
          </w:tcPr>
          <w:p w14:paraId="7032C4EB" w14:textId="6EA3A144" w:rsidR="00026A28" w:rsidRPr="002435AE" w:rsidRDefault="00026A28" w:rsidP="00841DE5">
            <w:pPr>
              <w:jc w:val="center"/>
              <w:rPr>
                <w:b/>
                <w:bCs/>
                <w:sz w:val="20"/>
                <w:szCs w:val="20"/>
              </w:rPr>
            </w:pPr>
            <w:r w:rsidRPr="002435AE">
              <w:rPr>
                <w:b/>
                <w:bCs/>
                <w:sz w:val="20"/>
                <w:szCs w:val="20"/>
              </w:rPr>
              <w:t>Cumulative Position Error δR (mm)</w:t>
            </w:r>
          </w:p>
        </w:tc>
      </w:tr>
      <w:tr w:rsidR="00026A28" w:rsidRPr="002435AE" w14:paraId="796F7823" w14:textId="77777777" w:rsidTr="00FB19F1">
        <w:tc>
          <w:tcPr>
            <w:tcW w:w="2325" w:type="dxa"/>
            <w:vAlign w:val="center"/>
          </w:tcPr>
          <w:p w14:paraId="6E308876" w14:textId="3C225784" w:rsidR="00026A28" w:rsidRPr="002435AE" w:rsidRDefault="00026A28" w:rsidP="002435AE">
            <w:pPr>
              <w:jc w:val="both"/>
              <w:rPr>
                <w:b/>
                <w:bCs/>
                <w:sz w:val="20"/>
                <w:szCs w:val="20"/>
              </w:rPr>
            </w:pPr>
            <w:r w:rsidRPr="002435AE">
              <w:rPr>
                <w:sz w:val="20"/>
                <w:szCs w:val="20"/>
              </w:rPr>
              <w:t>Link 1 Length (a</w:t>
            </w:r>
            <w:r w:rsidRPr="002435AE">
              <w:rPr>
                <w:sz w:val="20"/>
                <w:szCs w:val="20"/>
                <w:vertAlign w:val="subscript"/>
              </w:rPr>
              <w:t>1</w:t>
            </w:r>
            <w:r w:rsidRPr="002435AE">
              <w:rPr>
                <w:sz w:val="20"/>
                <w:szCs w:val="20"/>
              </w:rPr>
              <w:t>)</w:t>
            </w:r>
          </w:p>
        </w:tc>
        <w:tc>
          <w:tcPr>
            <w:tcW w:w="1540" w:type="dxa"/>
            <w:vAlign w:val="center"/>
          </w:tcPr>
          <w:p w14:paraId="56F000D1" w14:textId="77777777" w:rsidR="00026A28" w:rsidRPr="002435AE" w:rsidRDefault="00026A28" w:rsidP="00841DE5">
            <w:pPr>
              <w:jc w:val="center"/>
              <w:rPr>
                <w:b/>
                <w:bCs/>
                <w:sz w:val="20"/>
                <w:szCs w:val="20"/>
              </w:rPr>
            </w:pPr>
            <w:r w:rsidRPr="002435AE">
              <w:rPr>
                <w:sz w:val="20"/>
                <w:szCs w:val="20"/>
              </w:rPr>
              <w:t>0.130</w:t>
            </w:r>
          </w:p>
        </w:tc>
        <w:tc>
          <w:tcPr>
            <w:tcW w:w="900" w:type="dxa"/>
            <w:vAlign w:val="center"/>
          </w:tcPr>
          <w:p w14:paraId="505C25C5" w14:textId="77777777" w:rsidR="00026A28" w:rsidRPr="002435AE" w:rsidRDefault="00026A28" w:rsidP="00841DE5">
            <w:pPr>
              <w:jc w:val="center"/>
              <w:rPr>
                <w:b/>
                <w:bCs/>
                <w:sz w:val="20"/>
                <w:szCs w:val="20"/>
              </w:rPr>
            </w:pPr>
            <w:r w:rsidRPr="002435AE">
              <w:rPr>
                <w:sz w:val="20"/>
                <w:szCs w:val="20"/>
              </w:rPr>
              <w:t>0.1126</w:t>
            </w:r>
          </w:p>
        </w:tc>
        <w:tc>
          <w:tcPr>
            <w:tcW w:w="990" w:type="dxa"/>
            <w:vAlign w:val="center"/>
          </w:tcPr>
          <w:p w14:paraId="7A21DA38" w14:textId="77777777" w:rsidR="00026A28" w:rsidRPr="002435AE" w:rsidRDefault="00026A28" w:rsidP="00841DE5">
            <w:pPr>
              <w:jc w:val="center"/>
              <w:rPr>
                <w:b/>
                <w:bCs/>
                <w:sz w:val="20"/>
                <w:szCs w:val="20"/>
              </w:rPr>
            </w:pPr>
            <w:r w:rsidRPr="002435AE">
              <w:rPr>
                <w:sz w:val="20"/>
                <w:szCs w:val="20"/>
              </w:rPr>
              <w:t>0.0650</w:t>
            </w:r>
          </w:p>
        </w:tc>
        <w:tc>
          <w:tcPr>
            <w:tcW w:w="900" w:type="dxa"/>
            <w:vAlign w:val="center"/>
          </w:tcPr>
          <w:p w14:paraId="7FBD8682" w14:textId="77777777" w:rsidR="00026A28" w:rsidRPr="002435AE" w:rsidRDefault="00026A28" w:rsidP="00841DE5">
            <w:pPr>
              <w:jc w:val="center"/>
              <w:rPr>
                <w:b/>
                <w:bCs/>
                <w:sz w:val="20"/>
                <w:szCs w:val="20"/>
              </w:rPr>
            </w:pPr>
            <w:r w:rsidRPr="002435AE">
              <w:rPr>
                <w:sz w:val="20"/>
                <w:szCs w:val="20"/>
              </w:rPr>
              <w:t>0.0000</w:t>
            </w:r>
          </w:p>
        </w:tc>
        <w:tc>
          <w:tcPr>
            <w:tcW w:w="1890" w:type="dxa"/>
            <w:vAlign w:val="center"/>
          </w:tcPr>
          <w:p w14:paraId="24DE2649" w14:textId="77777777" w:rsidR="00026A28" w:rsidRPr="002435AE" w:rsidRDefault="00026A28" w:rsidP="00841DE5">
            <w:pPr>
              <w:jc w:val="center"/>
              <w:rPr>
                <w:b/>
                <w:bCs/>
                <w:sz w:val="20"/>
                <w:szCs w:val="20"/>
              </w:rPr>
            </w:pPr>
            <w:r w:rsidRPr="002435AE">
              <w:rPr>
                <w:b/>
                <w:bCs/>
                <w:sz w:val="20"/>
                <w:szCs w:val="20"/>
              </w:rPr>
              <w:t>0.1300</w:t>
            </w:r>
          </w:p>
        </w:tc>
      </w:tr>
      <w:tr w:rsidR="00026A28" w:rsidRPr="002435AE" w14:paraId="15C79C05" w14:textId="77777777" w:rsidTr="00FB19F1">
        <w:tc>
          <w:tcPr>
            <w:tcW w:w="2325" w:type="dxa"/>
            <w:vAlign w:val="center"/>
          </w:tcPr>
          <w:p w14:paraId="4460CAB4" w14:textId="02BF55F4" w:rsidR="00026A28" w:rsidRPr="002435AE" w:rsidRDefault="00026A28" w:rsidP="002435AE">
            <w:pPr>
              <w:jc w:val="both"/>
              <w:rPr>
                <w:b/>
                <w:bCs/>
                <w:sz w:val="20"/>
                <w:szCs w:val="20"/>
              </w:rPr>
            </w:pPr>
            <w:r w:rsidRPr="002435AE">
              <w:rPr>
                <w:sz w:val="20"/>
                <w:szCs w:val="20"/>
              </w:rPr>
              <w:t>Link 2 Length (a</w:t>
            </w:r>
            <w:r w:rsidRPr="002435AE">
              <w:rPr>
                <w:sz w:val="20"/>
                <w:szCs w:val="20"/>
                <w:vertAlign w:val="subscript"/>
              </w:rPr>
              <w:t>2</w:t>
            </w:r>
            <w:r w:rsidRPr="002435AE">
              <w:rPr>
                <w:sz w:val="20"/>
                <w:szCs w:val="20"/>
              </w:rPr>
              <w:t>)</w:t>
            </w:r>
          </w:p>
        </w:tc>
        <w:tc>
          <w:tcPr>
            <w:tcW w:w="1540" w:type="dxa"/>
            <w:vAlign w:val="center"/>
          </w:tcPr>
          <w:p w14:paraId="504D3C1F" w14:textId="77777777" w:rsidR="00026A28" w:rsidRPr="002435AE" w:rsidRDefault="00026A28" w:rsidP="00841DE5">
            <w:pPr>
              <w:jc w:val="center"/>
              <w:rPr>
                <w:b/>
                <w:bCs/>
                <w:sz w:val="20"/>
                <w:szCs w:val="20"/>
              </w:rPr>
            </w:pPr>
            <w:r w:rsidRPr="002435AE">
              <w:rPr>
                <w:sz w:val="20"/>
                <w:szCs w:val="20"/>
              </w:rPr>
              <w:t>0.090</w:t>
            </w:r>
          </w:p>
        </w:tc>
        <w:tc>
          <w:tcPr>
            <w:tcW w:w="900" w:type="dxa"/>
            <w:vAlign w:val="center"/>
          </w:tcPr>
          <w:p w14:paraId="3E085E35" w14:textId="77777777" w:rsidR="00026A28" w:rsidRPr="002435AE" w:rsidRDefault="00026A28" w:rsidP="00841DE5">
            <w:pPr>
              <w:jc w:val="center"/>
              <w:rPr>
                <w:b/>
                <w:bCs/>
                <w:sz w:val="20"/>
                <w:szCs w:val="20"/>
              </w:rPr>
            </w:pPr>
            <w:r w:rsidRPr="002435AE">
              <w:rPr>
                <w:sz w:val="20"/>
                <w:szCs w:val="20"/>
              </w:rPr>
              <w:t>0.0233</w:t>
            </w:r>
          </w:p>
        </w:tc>
        <w:tc>
          <w:tcPr>
            <w:tcW w:w="990" w:type="dxa"/>
            <w:vAlign w:val="center"/>
          </w:tcPr>
          <w:p w14:paraId="6212F523" w14:textId="77777777" w:rsidR="00026A28" w:rsidRPr="002435AE" w:rsidRDefault="00026A28" w:rsidP="00841DE5">
            <w:pPr>
              <w:jc w:val="center"/>
              <w:rPr>
                <w:b/>
                <w:bCs/>
                <w:sz w:val="20"/>
                <w:szCs w:val="20"/>
              </w:rPr>
            </w:pPr>
            <w:r w:rsidRPr="002435AE">
              <w:rPr>
                <w:sz w:val="20"/>
                <w:szCs w:val="20"/>
              </w:rPr>
              <w:t>0.0869</w:t>
            </w:r>
          </w:p>
        </w:tc>
        <w:tc>
          <w:tcPr>
            <w:tcW w:w="900" w:type="dxa"/>
            <w:vAlign w:val="center"/>
          </w:tcPr>
          <w:p w14:paraId="0C533069" w14:textId="77777777" w:rsidR="00026A28" w:rsidRPr="002435AE" w:rsidRDefault="00026A28" w:rsidP="00841DE5">
            <w:pPr>
              <w:jc w:val="center"/>
              <w:rPr>
                <w:b/>
                <w:bCs/>
                <w:sz w:val="20"/>
                <w:szCs w:val="20"/>
              </w:rPr>
            </w:pPr>
            <w:r w:rsidRPr="002435AE">
              <w:rPr>
                <w:sz w:val="20"/>
                <w:szCs w:val="20"/>
              </w:rPr>
              <w:t>0.0000</w:t>
            </w:r>
          </w:p>
        </w:tc>
        <w:tc>
          <w:tcPr>
            <w:tcW w:w="1890" w:type="dxa"/>
            <w:vAlign w:val="center"/>
          </w:tcPr>
          <w:p w14:paraId="6E74E6D0" w14:textId="77777777" w:rsidR="00026A28" w:rsidRPr="002435AE" w:rsidRDefault="00026A28" w:rsidP="00841DE5">
            <w:pPr>
              <w:jc w:val="center"/>
              <w:rPr>
                <w:b/>
                <w:bCs/>
                <w:sz w:val="20"/>
                <w:szCs w:val="20"/>
              </w:rPr>
            </w:pPr>
            <w:r w:rsidRPr="002435AE">
              <w:rPr>
                <w:b/>
                <w:bCs/>
                <w:sz w:val="20"/>
                <w:szCs w:val="20"/>
              </w:rPr>
              <w:t>0.0900</w:t>
            </w:r>
          </w:p>
        </w:tc>
      </w:tr>
      <w:tr w:rsidR="00026A28" w:rsidRPr="002435AE" w14:paraId="1A831C32" w14:textId="77777777" w:rsidTr="00FB19F1">
        <w:tc>
          <w:tcPr>
            <w:tcW w:w="2325" w:type="dxa"/>
            <w:vAlign w:val="center"/>
          </w:tcPr>
          <w:p w14:paraId="25B9395E" w14:textId="5DEC01ED" w:rsidR="00026A28" w:rsidRPr="002435AE" w:rsidRDefault="00026A28" w:rsidP="002435AE">
            <w:pPr>
              <w:jc w:val="both"/>
              <w:rPr>
                <w:b/>
                <w:bCs/>
                <w:sz w:val="20"/>
                <w:szCs w:val="20"/>
              </w:rPr>
            </w:pPr>
            <w:r w:rsidRPr="002435AE">
              <w:rPr>
                <w:sz w:val="20"/>
                <w:szCs w:val="20"/>
              </w:rPr>
              <w:t>Base Height (d</w:t>
            </w:r>
            <w:r w:rsidRPr="002435AE">
              <w:rPr>
                <w:sz w:val="20"/>
                <w:szCs w:val="20"/>
                <w:vertAlign w:val="subscript"/>
              </w:rPr>
              <w:t>1</w:t>
            </w:r>
            <w:r w:rsidRPr="002435AE">
              <w:rPr>
                <w:sz w:val="20"/>
                <w:szCs w:val="20"/>
              </w:rPr>
              <w:t>)</w:t>
            </w:r>
          </w:p>
        </w:tc>
        <w:tc>
          <w:tcPr>
            <w:tcW w:w="1540" w:type="dxa"/>
            <w:vAlign w:val="center"/>
          </w:tcPr>
          <w:p w14:paraId="4DDAA4E9" w14:textId="77777777" w:rsidR="00026A28" w:rsidRPr="002435AE" w:rsidRDefault="00026A28" w:rsidP="00841DE5">
            <w:pPr>
              <w:jc w:val="center"/>
              <w:rPr>
                <w:b/>
                <w:bCs/>
                <w:sz w:val="20"/>
                <w:szCs w:val="20"/>
              </w:rPr>
            </w:pPr>
            <w:r w:rsidRPr="002435AE">
              <w:rPr>
                <w:sz w:val="20"/>
                <w:szCs w:val="20"/>
              </w:rPr>
              <w:t>0.130</w:t>
            </w:r>
          </w:p>
        </w:tc>
        <w:tc>
          <w:tcPr>
            <w:tcW w:w="900" w:type="dxa"/>
            <w:vAlign w:val="center"/>
          </w:tcPr>
          <w:p w14:paraId="57F56FB6" w14:textId="77777777" w:rsidR="00026A28" w:rsidRPr="002435AE" w:rsidRDefault="00026A28" w:rsidP="00841DE5">
            <w:pPr>
              <w:jc w:val="center"/>
              <w:rPr>
                <w:b/>
                <w:bCs/>
                <w:sz w:val="20"/>
                <w:szCs w:val="20"/>
              </w:rPr>
            </w:pPr>
            <w:r w:rsidRPr="002435AE">
              <w:rPr>
                <w:sz w:val="20"/>
                <w:szCs w:val="20"/>
              </w:rPr>
              <w:t>0.0000</w:t>
            </w:r>
          </w:p>
        </w:tc>
        <w:tc>
          <w:tcPr>
            <w:tcW w:w="990" w:type="dxa"/>
            <w:vAlign w:val="center"/>
          </w:tcPr>
          <w:p w14:paraId="7DCB76A0" w14:textId="77777777" w:rsidR="00026A28" w:rsidRPr="002435AE" w:rsidRDefault="00026A28" w:rsidP="00841DE5">
            <w:pPr>
              <w:jc w:val="center"/>
              <w:rPr>
                <w:b/>
                <w:bCs/>
                <w:sz w:val="20"/>
                <w:szCs w:val="20"/>
              </w:rPr>
            </w:pPr>
            <w:r w:rsidRPr="002435AE">
              <w:rPr>
                <w:sz w:val="20"/>
                <w:szCs w:val="20"/>
              </w:rPr>
              <w:t>0.0000</w:t>
            </w:r>
          </w:p>
        </w:tc>
        <w:tc>
          <w:tcPr>
            <w:tcW w:w="900" w:type="dxa"/>
            <w:vAlign w:val="center"/>
          </w:tcPr>
          <w:p w14:paraId="0192CC58" w14:textId="77777777" w:rsidR="00026A28" w:rsidRPr="002435AE" w:rsidRDefault="00026A28" w:rsidP="00841DE5">
            <w:pPr>
              <w:jc w:val="center"/>
              <w:rPr>
                <w:b/>
                <w:bCs/>
                <w:sz w:val="20"/>
                <w:szCs w:val="20"/>
              </w:rPr>
            </w:pPr>
            <w:r w:rsidRPr="002435AE">
              <w:rPr>
                <w:sz w:val="20"/>
                <w:szCs w:val="20"/>
              </w:rPr>
              <w:t>0.1300</w:t>
            </w:r>
          </w:p>
        </w:tc>
        <w:tc>
          <w:tcPr>
            <w:tcW w:w="1890" w:type="dxa"/>
            <w:vAlign w:val="center"/>
          </w:tcPr>
          <w:p w14:paraId="77B5F4F4" w14:textId="77777777" w:rsidR="00026A28" w:rsidRPr="002435AE" w:rsidRDefault="00026A28" w:rsidP="00841DE5">
            <w:pPr>
              <w:jc w:val="center"/>
              <w:rPr>
                <w:b/>
                <w:bCs/>
                <w:sz w:val="20"/>
                <w:szCs w:val="20"/>
              </w:rPr>
            </w:pPr>
            <w:r w:rsidRPr="002435AE">
              <w:rPr>
                <w:b/>
                <w:bCs/>
                <w:sz w:val="20"/>
                <w:szCs w:val="20"/>
              </w:rPr>
              <w:t>0.1300</w:t>
            </w:r>
          </w:p>
        </w:tc>
      </w:tr>
    </w:tbl>
    <w:p w14:paraId="2506152E" w14:textId="77777777" w:rsidR="00026A28" w:rsidRPr="002435AE" w:rsidRDefault="00026A28" w:rsidP="002435AE">
      <w:pPr>
        <w:jc w:val="center"/>
        <w:rPr>
          <w:sz w:val="20"/>
          <w:szCs w:val="20"/>
        </w:rPr>
      </w:pPr>
    </w:p>
    <w:p w14:paraId="167C5BEB" w14:textId="521791B9" w:rsidR="00026A28" w:rsidRPr="002435AE" w:rsidRDefault="00026A28" w:rsidP="002435AE">
      <w:pPr>
        <w:jc w:val="center"/>
        <w:rPr>
          <w:sz w:val="20"/>
          <w:szCs w:val="20"/>
        </w:rPr>
      </w:pPr>
    </w:p>
    <w:p w14:paraId="1821D51A" w14:textId="5553BF02" w:rsidR="00E76906" w:rsidRPr="002435AE" w:rsidRDefault="00E76906" w:rsidP="002435AE">
      <w:pPr>
        <w:jc w:val="center"/>
        <w:rPr>
          <w:sz w:val="20"/>
          <w:szCs w:val="20"/>
        </w:rPr>
      </w:pPr>
      <w:r w:rsidRPr="002435AE">
        <w:rPr>
          <w:noProof/>
          <w:sz w:val="20"/>
          <w:szCs w:val="20"/>
        </w:rPr>
        <w:drawing>
          <wp:inline distT="0" distB="0" distL="0" distR="0" wp14:anchorId="08D39542" wp14:editId="699F43F7">
            <wp:extent cx="4274820" cy="2786055"/>
            <wp:effectExtent l="0" t="0" r="0" b="0"/>
            <wp:docPr id="504833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833166" name=""/>
                    <pic:cNvPicPr/>
                  </pic:nvPicPr>
                  <pic:blipFill>
                    <a:blip r:embed="rId7"/>
                    <a:stretch>
                      <a:fillRect/>
                    </a:stretch>
                  </pic:blipFill>
                  <pic:spPr>
                    <a:xfrm>
                      <a:off x="0" y="0"/>
                      <a:ext cx="4284010" cy="2792045"/>
                    </a:xfrm>
                    <a:prstGeom prst="rect">
                      <a:avLst/>
                    </a:prstGeom>
                  </pic:spPr>
                </pic:pic>
              </a:graphicData>
            </a:graphic>
          </wp:inline>
        </w:drawing>
      </w:r>
    </w:p>
    <w:p w14:paraId="1DD16DA9" w14:textId="13250A18" w:rsidR="00FE3C21" w:rsidRPr="002435AE" w:rsidRDefault="00FE3C21" w:rsidP="002435AE">
      <w:pPr>
        <w:jc w:val="center"/>
        <w:rPr>
          <w:i/>
          <w:iCs/>
          <w:sz w:val="20"/>
          <w:szCs w:val="20"/>
        </w:rPr>
      </w:pPr>
      <w:r w:rsidRPr="002435AE">
        <w:rPr>
          <w:b/>
          <w:bCs/>
          <w:i/>
          <w:iCs/>
          <w:sz w:val="20"/>
          <w:szCs w:val="20"/>
        </w:rPr>
        <w:t xml:space="preserve">Figure 2. </w:t>
      </w:r>
      <w:r w:rsidRPr="002435AE">
        <w:rPr>
          <w:i/>
          <w:iCs/>
          <w:sz w:val="20"/>
          <w:szCs w:val="20"/>
        </w:rPr>
        <w:t>Comparison of cumulative positioning errors (δR) under the individual influence of each manufacturing error.</w:t>
      </w:r>
    </w:p>
    <w:p w14:paraId="793509C3" w14:textId="77777777" w:rsidR="00B42823" w:rsidRPr="002435AE" w:rsidRDefault="00B42823" w:rsidP="002435AE">
      <w:pPr>
        <w:rPr>
          <w:sz w:val="20"/>
          <w:szCs w:val="20"/>
        </w:rPr>
      </w:pPr>
      <w:r w:rsidRPr="002435AE">
        <w:rPr>
          <w:sz w:val="20"/>
          <w:szCs w:val="20"/>
        </w:rPr>
        <w:t>From the simulation results, the following observations can be made:</w:t>
      </w:r>
    </w:p>
    <w:p w14:paraId="02C48457" w14:textId="4EC197CE" w:rsidR="00B42823" w:rsidRPr="002435AE" w:rsidRDefault="00B42823" w:rsidP="002435AE">
      <w:pPr>
        <w:numPr>
          <w:ilvl w:val="0"/>
          <w:numId w:val="2"/>
        </w:numPr>
        <w:rPr>
          <w:sz w:val="20"/>
          <w:szCs w:val="20"/>
        </w:rPr>
      </w:pPr>
      <w:r w:rsidRPr="002435AE">
        <w:rPr>
          <w:sz w:val="20"/>
          <w:szCs w:val="20"/>
        </w:rPr>
        <w:t>Due to the kinematic characteristics of the SCARA robot, which feature a clear separation between the horizontal plane (X-Y) and the vertical axis (Z), the height error of the base supporting link (</w:t>
      </w:r>
      <w:r w:rsidR="00026A28" w:rsidRPr="002435AE">
        <w:rPr>
          <w:i/>
          <w:iCs/>
          <w:sz w:val="20"/>
          <w:szCs w:val="20"/>
        </w:rPr>
        <w:t>d</w:t>
      </w:r>
      <w:r w:rsidR="00026A28" w:rsidRPr="002435AE">
        <w:rPr>
          <w:i/>
          <w:iCs/>
          <w:sz w:val="20"/>
          <w:szCs w:val="20"/>
          <w:vertAlign w:val="subscript"/>
        </w:rPr>
        <w:t>1</w:t>
      </w:r>
      <w:r w:rsidRPr="002435AE">
        <w:rPr>
          <w:sz w:val="20"/>
          <w:szCs w:val="20"/>
        </w:rPr>
        <w:t xml:space="preserve">) is fully transferred linearly (100%) into the vertical position error </w:t>
      </w:r>
      <w:r w:rsidR="00026A28" w:rsidRPr="002435AE">
        <w:rPr>
          <w:sz w:val="20"/>
          <w:szCs w:val="20"/>
        </w:rPr>
        <w:t>(</w:t>
      </w:r>
      <w:r w:rsidR="00026A28" w:rsidRPr="002435AE">
        <w:rPr>
          <w:i/>
          <w:iCs/>
          <w:sz w:val="20"/>
          <w:szCs w:val="20"/>
        </w:rPr>
        <w:t>δP</w:t>
      </w:r>
      <w:r w:rsidR="00026A28" w:rsidRPr="002435AE">
        <w:rPr>
          <w:i/>
          <w:iCs/>
          <w:sz w:val="20"/>
          <w:szCs w:val="20"/>
          <w:vertAlign w:val="subscript"/>
        </w:rPr>
        <w:t>z</w:t>
      </w:r>
      <w:r w:rsidRPr="002435AE">
        <w:rPr>
          <w:sz w:val="20"/>
          <w:szCs w:val="20"/>
        </w:rPr>
        <w:t>).</w:t>
      </w:r>
    </w:p>
    <w:p w14:paraId="4815B2E1" w14:textId="18060128" w:rsidR="00B42823" w:rsidRPr="002435AE" w:rsidRDefault="00B42823" w:rsidP="002435AE">
      <w:pPr>
        <w:numPr>
          <w:ilvl w:val="0"/>
          <w:numId w:val="2"/>
        </w:numPr>
        <w:rPr>
          <w:sz w:val="20"/>
          <w:szCs w:val="20"/>
        </w:rPr>
      </w:pPr>
      <w:r w:rsidRPr="002435AE">
        <w:rPr>
          <w:sz w:val="20"/>
          <w:szCs w:val="20"/>
        </w:rPr>
        <w:t>Within the horizontal plane of motion, the larger link length error (</w:t>
      </w:r>
      <w:r w:rsidR="00026A28" w:rsidRPr="002435AE">
        <w:rPr>
          <w:i/>
          <w:iCs/>
          <w:sz w:val="20"/>
          <w:szCs w:val="20"/>
        </w:rPr>
        <w:t>a</w:t>
      </w:r>
      <w:r w:rsidR="00026A28" w:rsidRPr="002435AE">
        <w:rPr>
          <w:i/>
          <w:iCs/>
          <w:sz w:val="20"/>
          <w:szCs w:val="20"/>
          <w:vertAlign w:val="subscript"/>
        </w:rPr>
        <w:t>1</w:t>
      </w:r>
      <w:r w:rsidR="00026A28" w:rsidRPr="002435AE">
        <w:rPr>
          <w:i/>
          <w:iCs/>
          <w:sz w:val="20"/>
          <w:szCs w:val="20"/>
        </w:rPr>
        <w:t xml:space="preserve"> = 250 mm</w:t>
      </w:r>
      <w:r w:rsidRPr="002435AE">
        <w:rPr>
          <w:sz w:val="20"/>
          <w:szCs w:val="20"/>
        </w:rPr>
        <w:t xml:space="preserve">) generates a higher cumulative position deviation </w:t>
      </w:r>
      <w:r w:rsidR="00026A28" w:rsidRPr="002435AE">
        <w:rPr>
          <w:sz w:val="20"/>
          <w:szCs w:val="20"/>
        </w:rPr>
        <w:t>(</w:t>
      </w:r>
      <w:r w:rsidR="00026A28" w:rsidRPr="002435AE">
        <w:rPr>
          <w:i/>
          <w:iCs/>
          <w:sz w:val="20"/>
          <w:szCs w:val="20"/>
        </w:rPr>
        <w:t>δR = 0.1300 mm</w:t>
      </w:r>
      <w:r w:rsidRPr="002435AE">
        <w:rPr>
          <w:sz w:val="20"/>
          <w:szCs w:val="20"/>
        </w:rPr>
        <w:t>) compared to the smaller link (</w:t>
      </w:r>
      <w:r w:rsidR="00026A28" w:rsidRPr="002435AE">
        <w:rPr>
          <w:i/>
          <w:iCs/>
          <w:sz w:val="20"/>
          <w:szCs w:val="20"/>
        </w:rPr>
        <w:t>a</w:t>
      </w:r>
      <w:r w:rsidR="00026A28" w:rsidRPr="002435AE">
        <w:rPr>
          <w:i/>
          <w:iCs/>
          <w:sz w:val="20"/>
          <w:szCs w:val="20"/>
          <w:vertAlign w:val="subscript"/>
        </w:rPr>
        <w:t>2</w:t>
      </w:r>
      <w:r w:rsidRPr="002435AE">
        <w:rPr>
          <w:sz w:val="20"/>
          <w:szCs w:val="20"/>
        </w:rPr>
        <w:t>).</w:t>
      </w:r>
    </w:p>
    <w:p w14:paraId="037C4134" w14:textId="77777777" w:rsidR="00B42823" w:rsidRPr="002435AE" w:rsidRDefault="00B42823" w:rsidP="002435AE">
      <w:pPr>
        <w:numPr>
          <w:ilvl w:val="0"/>
          <w:numId w:val="2"/>
        </w:numPr>
        <w:rPr>
          <w:sz w:val="20"/>
          <w:szCs w:val="20"/>
        </w:rPr>
      </w:pPr>
      <w:r w:rsidRPr="002435AE">
        <w:rPr>
          <w:sz w:val="20"/>
          <w:szCs w:val="20"/>
        </w:rPr>
        <w:t>Synthesizing the dimensional chain reveals that the group of long dimensions determining the robot's reach possesses the highest linear influence weight on the final positioning accuracy of the end-effector.</w:t>
      </w:r>
    </w:p>
    <w:p w14:paraId="0E748D9B" w14:textId="77777777" w:rsidR="00B42823" w:rsidRPr="002435AE" w:rsidRDefault="00B42823" w:rsidP="002435AE">
      <w:pPr>
        <w:rPr>
          <w:b/>
          <w:bCs/>
          <w:sz w:val="20"/>
          <w:szCs w:val="20"/>
        </w:rPr>
      </w:pPr>
      <w:r w:rsidRPr="002435AE">
        <w:rPr>
          <w:b/>
          <w:bCs/>
          <w:sz w:val="20"/>
          <w:szCs w:val="20"/>
        </w:rPr>
        <w:t>4. CONCLUSIONS AND RECOMMENDATIONS</w:t>
      </w:r>
    </w:p>
    <w:p w14:paraId="28693133" w14:textId="3F8B6606" w:rsidR="00B42823" w:rsidRPr="002435AE" w:rsidRDefault="00B42823" w:rsidP="002435AE">
      <w:pPr>
        <w:rPr>
          <w:sz w:val="20"/>
          <w:szCs w:val="20"/>
        </w:rPr>
      </w:pPr>
      <w:r w:rsidRPr="002435AE">
        <w:rPr>
          <w:sz w:val="20"/>
          <w:szCs w:val="20"/>
        </w:rPr>
        <w:t>Based on the theoretical formulation and numerical simulation results for the four-degree-of-freedom SCARA robot, several core conclusions and future recommendations are summarized as follows</w:t>
      </w:r>
      <w:r w:rsidR="00841DE5">
        <w:rPr>
          <w:sz w:val="20"/>
          <w:szCs w:val="20"/>
        </w:rPr>
        <w:t>.</w:t>
      </w:r>
    </w:p>
    <w:p w14:paraId="66914CB7" w14:textId="77777777" w:rsidR="00B42823" w:rsidRPr="002435AE" w:rsidRDefault="00B42823" w:rsidP="002435AE">
      <w:pPr>
        <w:rPr>
          <w:sz w:val="20"/>
          <w:szCs w:val="20"/>
        </w:rPr>
      </w:pPr>
      <w:r w:rsidRPr="002435AE">
        <w:rPr>
          <w:b/>
          <w:bCs/>
          <w:sz w:val="20"/>
          <w:szCs w:val="20"/>
        </w:rPr>
        <w:t>Conclusions:</w:t>
      </w:r>
    </w:p>
    <w:p w14:paraId="6F38E47D" w14:textId="43FC1D43" w:rsidR="00B42823" w:rsidRPr="002435AE" w:rsidRDefault="00B42823" w:rsidP="002435AE">
      <w:pPr>
        <w:numPr>
          <w:ilvl w:val="0"/>
          <w:numId w:val="3"/>
        </w:numPr>
        <w:rPr>
          <w:sz w:val="20"/>
          <w:szCs w:val="20"/>
        </w:rPr>
      </w:pPr>
      <w:r w:rsidRPr="002435AE">
        <w:rPr>
          <w:sz w:val="20"/>
          <w:szCs w:val="20"/>
        </w:rPr>
        <w:t>This paper has successfully developed a differential mathematical model to</w:t>
      </w:r>
      <w:r w:rsidR="00026A28" w:rsidRPr="002435AE">
        <w:rPr>
          <w:sz w:val="20"/>
          <w:szCs w:val="20"/>
        </w:rPr>
        <w:t xml:space="preserve"> </w:t>
      </w:r>
      <w:r w:rsidRPr="002435AE">
        <w:rPr>
          <w:sz w:val="20"/>
          <w:szCs w:val="20"/>
        </w:rPr>
        <w:t>determine the influence of link dimensional manufacturing errors on the positioning accuracy of the SCARA robot end-effector.</w:t>
      </w:r>
    </w:p>
    <w:p w14:paraId="74A291B5" w14:textId="77777777" w:rsidR="00B42823" w:rsidRPr="002435AE" w:rsidRDefault="00B42823" w:rsidP="002435AE">
      <w:pPr>
        <w:numPr>
          <w:ilvl w:val="0"/>
          <w:numId w:val="3"/>
        </w:numPr>
        <w:rPr>
          <w:sz w:val="20"/>
          <w:szCs w:val="20"/>
        </w:rPr>
      </w:pPr>
      <w:r w:rsidRPr="002435AE">
        <w:rPr>
          <w:sz w:val="20"/>
          <w:szCs w:val="20"/>
        </w:rPr>
        <w:t>The geometric errors of the primary links exhibit a substantial and direct impact on the positional deviation of the gripper. Specifically, links with larger nominal dimensions produce more severe adverse effects on the final positioning error.</w:t>
      </w:r>
    </w:p>
    <w:p w14:paraId="1BBCC82A" w14:textId="200CBEDD" w:rsidR="00B42823" w:rsidRPr="002435AE" w:rsidRDefault="00B42823" w:rsidP="002435AE">
      <w:pPr>
        <w:numPr>
          <w:ilvl w:val="0"/>
          <w:numId w:val="3"/>
        </w:numPr>
        <w:rPr>
          <w:sz w:val="20"/>
          <w:szCs w:val="20"/>
        </w:rPr>
      </w:pPr>
      <w:r w:rsidRPr="002435AE">
        <w:rPr>
          <w:sz w:val="20"/>
          <w:szCs w:val="20"/>
        </w:rPr>
        <w:t>For the SCARA robot configuration, controlling and tightening the manufacturing tolerances of the base height (</w:t>
      </w:r>
      <w:r w:rsidRPr="002435AE">
        <w:rPr>
          <w:i/>
          <w:iCs/>
          <w:sz w:val="20"/>
          <w:szCs w:val="20"/>
        </w:rPr>
        <w:t>d</w:t>
      </w:r>
      <w:r w:rsidRPr="002435AE">
        <w:rPr>
          <w:i/>
          <w:iCs/>
          <w:sz w:val="20"/>
          <w:szCs w:val="20"/>
          <w:vertAlign w:val="subscript"/>
        </w:rPr>
        <w:t>1</w:t>
      </w:r>
      <w:r w:rsidRPr="002435AE">
        <w:rPr>
          <w:sz w:val="20"/>
          <w:szCs w:val="20"/>
        </w:rPr>
        <w:t>) and the first link (</w:t>
      </w:r>
      <w:r w:rsidR="00FE3C21" w:rsidRPr="002435AE">
        <w:rPr>
          <w:i/>
          <w:iCs/>
          <w:sz w:val="20"/>
          <w:szCs w:val="20"/>
        </w:rPr>
        <w:t>a</w:t>
      </w:r>
      <w:r w:rsidR="00FE3C21" w:rsidRPr="002435AE">
        <w:rPr>
          <w:i/>
          <w:iCs/>
          <w:sz w:val="20"/>
          <w:szCs w:val="20"/>
          <w:vertAlign w:val="subscript"/>
        </w:rPr>
        <w:t>1</w:t>
      </w:r>
      <w:r w:rsidRPr="002435AE">
        <w:rPr>
          <w:sz w:val="20"/>
          <w:szCs w:val="20"/>
        </w:rPr>
        <w:t>) must be prioritized to guarantee the required assembly accuracy. Conversely, the tolerance for the secondary link (</w:t>
      </w:r>
      <w:r w:rsidR="00FE3C21" w:rsidRPr="002435AE">
        <w:rPr>
          <w:i/>
          <w:iCs/>
          <w:sz w:val="20"/>
          <w:szCs w:val="20"/>
        </w:rPr>
        <w:t>a</w:t>
      </w:r>
      <w:r w:rsidR="00FE3C21" w:rsidRPr="002435AE">
        <w:rPr>
          <w:i/>
          <w:iCs/>
          <w:sz w:val="20"/>
          <w:szCs w:val="20"/>
          <w:vertAlign w:val="subscript"/>
        </w:rPr>
        <w:t>2</w:t>
      </w:r>
      <w:r w:rsidRPr="002435AE">
        <w:rPr>
          <w:sz w:val="20"/>
          <w:szCs w:val="20"/>
        </w:rPr>
        <w:t>) can be relaxed to minimize machining costs without significantly compromising the overall system performance.</w:t>
      </w:r>
    </w:p>
    <w:p w14:paraId="3457AD07" w14:textId="77777777" w:rsidR="00B42823" w:rsidRPr="002435AE" w:rsidRDefault="00B42823" w:rsidP="002435AE">
      <w:pPr>
        <w:rPr>
          <w:sz w:val="20"/>
          <w:szCs w:val="20"/>
        </w:rPr>
      </w:pPr>
      <w:r w:rsidRPr="002435AE">
        <w:rPr>
          <w:b/>
          <w:bCs/>
          <w:sz w:val="20"/>
          <w:szCs w:val="20"/>
        </w:rPr>
        <w:t>Recommendations and Future Work:</w:t>
      </w:r>
    </w:p>
    <w:p w14:paraId="2295C11C" w14:textId="77777777" w:rsidR="00B42823" w:rsidRPr="002435AE" w:rsidRDefault="00B42823" w:rsidP="002435AE">
      <w:pPr>
        <w:numPr>
          <w:ilvl w:val="0"/>
          <w:numId w:val="4"/>
        </w:numPr>
        <w:rPr>
          <w:sz w:val="20"/>
          <w:szCs w:val="20"/>
        </w:rPr>
      </w:pPr>
      <w:r w:rsidRPr="002435AE">
        <w:rPr>
          <w:sz w:val="20"/>
          <w:szCs w:val="20"/>
        </w:rPr>
        <w:t xml:space="preserve">To further advance this research direction, the authors plan to expand the analytical model by incorporating the simultaneous, coupled effects of joint angle errors (such as bearing clearances) and </w:t>
      </w:r>
      <w:r w:rsidRPr="002435AE">
        <w:rPr>
          <w:sz w:val="20"/>
          <w:szCs w:val="20"/>
        </w:rPr>
        <w:lastRenderedPageBreak/>
        <w:t>dynamic load variations. This extension aims to significantly enhance the practical fidelity and realism of the predictive model under real-world operating conditions.</w:t>
      </w:r>
    </w:p>
    <w:p w14:paraId="13D8C0FB" w14:textId="4F75727B" w:rsidR="00FE3C21" w:rsidRPr="002435AE" w:rsidRDefault="00FE3C21" w:rsidP="002435AE">
      <w:pPr>
        <w:rPr>
          <w:b/>
          <w:bCs/>
          <w:sz w:val="20"/>
          <w:szCs w:val="20"/>
        </w:rPr>
      </w:pPr>
      <w:r w:rsidRPr="002435AE">
        <w:rPr>
          <w:b/>
          <w:bCs/>
          <w:sz w:val="20"/>
          <w:szCs w:val="20"/>
        </w:rPr>
        <w:t xml:space="preserve">5. ACKNOWLEDGMENTS </w:t>
      </w:r>
    </w:p>
    <w:p w14:paraId="5CB64C1D" w14:textId="5892D3EB" w:rsidR="00FE3C21" w:rsidRPr="002435AE" w:rsidRDefault="00FE3C21" w:rsidP="002435AE">
      <w:pPr>
        <w:rPr>
          <w:sz w:val="20"/>
          <w:szCs w:val="20"/>
        </w:rPr>
      </w:pPr>
      <w:r w:rsidRPr="002435AE">
        <w:rPr>
          <w:sz w:val="20"/>
          <w:szCs w:val="20"/>
        </w:rPr>
        <w:t xml:space="preserve">This work was supported by the Thai Nguyen University of Technology (TNUT), Thai Nguyen Province, Vietnam. </w:t>
      </w:r>
    </w:p>
    <w:p w14:paraId="7ED05B00" w14:textId="3FA89AB3" w:rsidR="00B42823" w:rsidRPr="002435AE" w:rsidRDefault="00FE3C21" w:rsidP="002435AE">
      <w:pPr>
        <w:rPr>
          <w:b/>
          <w:bCs/>
          <w:sz w:val="20"/>
          <w:szCs w:val="20"/>
        </w:rPr>
      </w:pPr>
      <w:r w:rsidRPr="002435AE">
        <w:rPr>
          <w:b/>
          <w:bCs/>
          <w:sz w:val="20"/>
          <w:szCs w:val="20"/>
        </w:rPr>
        <w:t>6. REFERENCES</w:t>
      </w:r>
    </w:p>
    <w:p w14:paraId="611F2D00" w14:textId="34074BE6" w:rsidR="00FE3C21" w:rsidRPr="00C914ED" w:rsidRDefault="00FE3C21" w:rsidP="002435AE">
      <w:pPr>
        <w:jc w:val="both"/>
        <w:rPr>
          <w:sz w:val="20"/>
          <w:szCs w:val="20"/>
        </w:rPr>
      </w:pPr>
      <w:r w:rsidRPr="00C914ED">
        <w:rPr>
          <w:sz w:val="20"/>
          <w:szCs w:val="20"/>
        </w:rPr>
        <w:t>[1] M P Groover</w:t>
      </w:r>
      <w:r w:rsidR="005B4F2A" w:rsidRPr="00C914ED">
        <w:rPr>
          <w:sz w:val="20"/>
          <w:szCs w:val="20"/>
        </w:rPr>
        <w:t>.</w:t>
      </w:r>
      <w:r w:rsidRPr="00C914ED">
        <w:rPr>
          <w:sz w:val="20"/>
          <w:szCs w:val="20"/>
        </w:rPr>
        <w:t xml:space="preserve"> Automation, Production Systems, and Computer-Integrated Manufacturing</w:t>
      </w:r>
      <w:r w:rsidR="005B4F2A" w:rsidRPr="00C914ED">
        <w:rPr>
          <w:sz w:val="20"/>
          <w:szCs w:val="20"/>
        </w:rPr>
        <w:t>.</w:t>
      </w:r>
      <w:r w:rsidRPr="00C914ED">
        <w:rPr>
          <w:sz w:val="20"/>
          <w:szCs w:val="20"/>
        </w:rPr>
        <w:t xml:space="preserve"> 5th ed. Pearson</w:t>
      </w:r>
      <w:r w:rsidR="005B4F2A" w:rsidRPr="00C914ED">
        <w:rPr>
          <w:sz w:val="20"/>
          <w:szCs w:val="20"/>
        </w:rPr>
        <w:t>, 2009</w:t>
      </w:r>
      <w:r w:rsidRPr="00C914ED">
        <w:rPr>
          <w:sz w:val="20"/>
          <w:szCs w:val="20"/>
        </w:rPr>
        <w:t>.</w:t>
      </w:r>
    </w:p>
    <w:p w14:paraId="040E3C9F" w14:textId="224E0DA1" w:rsidR="00FE3C21" w:rsidRPr="00C914ED" w:rsidRDefault="00FE3C21" w:rsidP="002435AE">
      <w:pPr>
        <w:jc w:val="both"/>
        <w:rPr>
          <w:sz w:val="20"/>
          <w:szCs w:val="20"/>
        </w:rPr>
      </w:pPr>
      <w:r w:rsidRPr="00C914ED">
        <w:rPr>
          <w:sz w:val="20"/>
          <w:szCs w:val="20"/>
        </w:rPr>
        <w:t>[2] J J Craig</w:t>
      </w:r>
      <w:r w:rsidR="005B4F2A" w:rsidRPr="00C914ED">
        <w:rPr>
          <w:sz w:val="20"/>
          <w:szCs w:val="20"/>
        </w:rPr>
        <w:t>.</w:t>
      </w:r>
      <w:r w:rsidRPr="00C914ED">
        <w:rPr>
          <w:sz w:val="20"/>
          <w:szCs w:val="20"/>
        </w:rPr>
        <w:t xml:space="preserve"> Introduction to Robotics: Mechanics and Control</w:t>
      </w:r>
      <w:r w:rsidR="005B4F2A" w:rsidRPr="00C914ED">
        <w:rPr>
          <w:sz w:val="20"/>
          <w:szCs w:val="20"/>
        </w:rPr>
        <w:t xml:space="preserve">. </w:t>
      </w:r>
      <w:r w:rsidRPr="00C914ED">
        <w:rPr>
          <w:sz w:val="20"/>
          <w:szCs w:val="20"/>
        </w:rPr>
        <w:t>4th ed. Pearson</w:t>
      </w:r>
      <w:r w:rsidR="005B4F2A" w:rsidRPr="00C914ED">
        <w:rPr>
          <w:sz w:val="20"/>
          <w:szCs w:val="20"/>
        </w:rPr>
        <w:t>, 2018</w:t>
      </w:r>
      <w:r w:rsidRPr="00C914ED">
        <w:rPr>
          <w:sz w:val="20"/>
          <w:szCs w:val="20"/>
        </w:rPr>
        <w:t>.</w:t>
      </w:r>
    </w:p>
    <w:p w14:paraId="313852DD" w14:textId="4459CEE9" w:rsidR="00FE3C21" w:rsidRPr="00C914ED" w:rsidRDefault="00FE3C21" w:rsidP="002435AE">
      <w:pPr>
        <w:jc w:val="both"/>
        <w:rPr>
          <w:sz w:val="20"/>
          <w:szCs w:val="20"/>
        </w:rPr>
      </w:pPr>
      <w:r w:rsidRPr="00C914ED">
        <w:rPr>
          <w:sz w:val="20"/>
          <w:szCs w:val="20"/>
        </w:rPr>
        <w:t>[3] Nguyễn Thiện Phúc</w:t>
      </w:r>
      <w:r w:rsidR="005B4F2A" w:rsidRPr="00C914ED">
        <w:rPr>
          <w:sz w:val="20"/>
          <w:szCs w:val="20"/>
        </w:rPr>
        <w:t>.</w:t>
      </w:r>
      <w:r w:rsidRPr="00C914ED">
        <w:rPr>
          <w:sz w:val="20"/>
          <w:szCs w:val="20"/>
        </w:rPr>
        <w:t xml:space="preserve"> Robot công nghiệp</w:t>
      </w:r>
      <w:r w:rsidR="005B4F2A" w:rsidRPr="00C914ED">
        <w:rPr>
          <w:sz w:val="20"/>
          <w:szCs w:val="20"/>
        </w:rPr>
        <w:t xml:space="preserve"> [Industrial Robot].</w:t>
      </w:r>
      <w:r w:rsidRPr="00C914ED">
        <w:rPr>
          <w:sz w:val="20"/>
          <w:szCs w:val="20"/>
        </w:rPr>
        <w:t xml:space="preserve"> Nhà xuất bản Khoa học và Kỹ thuật, Hà Nội, 2006</w:t>
      </w:r>
      <w:r w:rsidR="005B4F2A" w:rsidRPr="00C914ED">
        <w:rPr>
          <w:sz w:val="20"/>
          <w:szCs w:val="20"/>
        </w:rPr>
        <w:t xml:space="preserve"> (in Vietnamese)</w:t>
      </w:r>
      <w:r w:rsidRPr="00C914ED">
        <w:rPr>
          <w:sz w:val="20"/>
          <w:szCs w:val="20"/>
        </w:rPr>
        <w:t>.</w:t>
      </w:r>
    </w:p>
    <w:p w14:paraId="58CFBD7A" w14:textId="60ABC147" w:rsidR="00FE3C21" w:rsidRPr="00C914ED" w:rsidRDefault="00FE3C21" w:rsidP="002435AE">
      <w:pPr>
        <w:jc w:val="both"/>
        <w:rPr>
          <w:sz w:val="20"/>
          <w:szCs w:val="20"/>
        </w:rPr>
      </w:pPr>
      <w:r w:rsidRPr="00C914ED">
        <w:rPr>
          <w:sz w:val="20"/>
          <w:szCs w:val="20"/>
        </w:rPr>
        <w:t>[4] M Vukobratovic and B Borovac</w:t>
      </w:r>
      <w:r w:rsidR="005B4F2A" w:rsidRPr="00C914ED">
        <w:rPr>
          <w:sz w:val="20"/>
          <w:szCs w:val="20"/>
        </w:rPr>
        <w:t>.</w:t>
      </w:r>
      <w:r w:rsidRPr="00C914ED">
        <w:rPr>
          <w:sz w:val="20"/>
          <w:szCs w:val="20"/>
        </w:rPr>
        <w:t xml:space="preserve"> Accuracy of the robot positioning and orientation assessed via its manufacturing tolerances</w:t>
      </w:r>
      <w:r w:rsidR="005B4F2A" w:rsidRPr="00C914ED">
        <w:rPr>
          <w:sz w:val="20"/>
          <w:szCs w:val="20"/>
        </w:rPr>
        <w:t>.</w:t>
      </w:r>
      <w:r w:rsidRPr="00C914ED">
        <w:rPr>
          <w:sz w:val="20"/>
          <w:szCs w:val="20"/>
        </w:rPr>
        <w:t xml:space="preserve"> Mechanism and Machine Theory</w:t>
      </w:r>
      <w:r w:rsidR="005B4F2A" w:rsidRPr="00C914ED">
        <w:rPr>
          <w:sz w:val="20"/>
          <w:szCs w:val="20"/>
        </w:rPr>
        <w:t>.1995,</w:t>
      </w:r>
      <w:r w:rsidRPr="00C914ED">
        <w:rPr>
          <w:sz w:val="20"/>
          <w:szCs w:val="20"/>
        </w:rPr>
        <w:t xml:space="preserve"> vol. 30, no. 1, pp. 11–32.</w:t>
      </w:r>
    </w:p>
    <w:p w14:paraId="34A4DF51" w14:textId="31A70144" w:rsidR="00FE3C21" w:rsidRPr="00C914ED" w:rsidRDefault="00FE3C21" w:rsidP="002435AE">
      <w:pPr>
        <w:jc w:val="both"/>
        <w:rPr>
          <w:sz w:val="20"/>
          <w:szCs w:val="20"/>
        </w:rPr>
      </w:pPr>
      <w:r w:rsidRPr="00C914ED">
        <w:rPr>
          <w:sz w:val="20"/>
          <w:szCs w:val="20"/>
        </w:rPr>
        <w:t>[5] J Zhu and K Ting</w:t>
      </w:r>
      <w:r w:rsidR="00C914ED" w:rsidRPr="00C914ED">
        <w:rPr>
          <w:sz w:val="20"/>
          <w:szCs w:val="20"/>
        </w:rPr>
        <w:t xml:space="preserve">. </w:t>
      </w:r>
      <w:r w:rsidRPr="00C914ED">
        <w:rPr>
          <w:sz w:val="20"/>
          <w:szCs w:val="20"/>
        </w:rPr>
        <w:t>Uncertainty analysis of planar and spatial robots with joint clearances</w:t>
      </w:r>
      <w:r w:rsidR="00C914ED" w:rsidRPr="00C914ED">
        <w:rPr>
          <w:sz w:val="20"/>
          <w:szCs w:val="20"/>
        </w:rPr>
        <w:t>.</w:t>
      </w:r>
      <w:r w:rsidRPr="00C914ED">
        <w:rPr>
          <w:sz w:val="20"/>
          <w:szCs w:val="20"/>
        </w:rPr>
        <w:t xml:space="preserve"> Mechanism and Machine Theory</w:t>
      </w:r>
      <w:r w:rsidR="00C914ED" w:rsidRPr="00C914ED">
        <w:rPr>
          <w:sz w:val="20"/>
          <w:szCs w:val="20"/>
        </w:rPr>
        <w:t>. 2000;</w:t>
      </w:r>
      <w:r w:rsidRPr="00C914ED">
        <w:rPr>
          <w:sz w:val="20"/>
          <w:szCs w:val="20"/>
        </w:rPr>
        <w:t xml:space="preserve"> vol. 35, pp. 1239–1256.</w:t>
      </w:r>
    </w:p>
    <w:p w14:paraId="3417F2C7" w14:textId="2BD8A206" w:rsidR="00FE3C21" w:rsidRPr="00C914ED" w:rsidRDefault="00FE3C21" w:rsidP="002435AE">
      <w:pPr>
        <w:jc w:val="both"/>
        <w:rPr>
          <w:sz w:val="20"/>
          <w:szCs w:val="20"/>
        </w:rPr>
      </w:pPr>
      <w:r w:rsidRPr="00C914ED">
        <w:rPr>
          <w:sz w:val="20"/>
          <w:szCs w:val="20"/>
        </w:rPr>
        <w:t>[6] P Huang, J Wang and L Wang</w:t>
      </w:r>
      <w:r w:rsidR="00C914ED" w:rsidRPr="00C914ED">
        <w:rPr>
          <w:sz w:val="20"/>
          <w:szCs w:val="20"/>
        </w:rPr>
        <w:t xml:space="preserve">. </w:t>
      </w:r>
      <w:r w:rsidRPr="00C914ED">
        <w:rPr>
          <w:sz w:val="20"/>
          <w:szCs w:val="20"/>
        </w:rPr>
        <w:t>Tolerance design of industrial robots based on an improved genetic algorithm</w:t>
      </w:r>
      <w:r w:rsidR="00C914ED" w:rsidRPr="00C914ED">
        <w:rPr>
          <w:sz w:val="20"/>
          <w:szCs w:val="20"/>
        </w:rPr>
        <w:t>.</w:t>
      </w:r>
      <w:r w:rsidRPr="00C914ED">
        <w:rPr>
          <w:sz w:val="20"/>
          <w:szCs w:val="20"/>
        </w:rPr>
        <w:t xml:space="preserve"> Mechanism and Machine Theory</w:t>
      </w:r>
      <w:r w:rsidR="00C914ED" w:rsidRPr="00C914ED">
        <w:rPr>
          <w:sz w:val="20"/>
          <w:szCs w:val="20"/>
        </w:rPr>
        <w:t>. 2020;</w:t>
      </w:r>
      <w:r w:rsidRPr="00C914ED">
        <w:rPr>
          <w:sz w:val="20"/>
          <w:szCs w:val="20"/>
        </w:rPr>
        <w:t xml:space="preserve"> vol. 152, p. 103943.</w:t>
      </w:r>
    </w:p>
    <w:p w14:paraId="15C999A8" w14:textId="75C4B325" w:rsidR="00FE3C21" w:rsidRPr="00C914ED" w:rsidRDefault="00FE3C21" w:rsidP="002435AE">
      <w:pPr>
        <w:jc w:val="both"/>
        <w:rPr>
          <w:sz w:val="20"/>
          <w:szCs w:val="20"/>
        </w:rPr>
      </w:pPr>
      <w:r w:rsidRPr="00C914ED">
        <w:rPr>
          <w:sz w:val="20"/>
          <w:szCs w:val="20"/>
        </w:rPr>
        <w:t>[7] Thuy Le-Thi-Thu and Viet Khong-Van</w:t>
      </w:r>
      <w:r w:rsidR="005B4F2A" w:rsidRPr="00C914ED">
        <w:rPr>
          <w:sz w:val="20"/>
          <w:szCs w:val="20"/>
        </w:rPr>
        <w:t>.</w:t>
      </w:r>
      <w:r w:rsidRPr="00C914ED">
        <w:rPr>
          <w:sz w:val="20"/>
          <w:szCs w:val="20"/>
        </w:rPr>
        <w:t xml:space="preserve"> Impact of Link Length Manufacturing Errors on the Positioning Accuracy of Industrial Robots</w:t>
      </w:r>
      <w:r w:rsidR="005B4F2A" w:rsidRPr="00C914ED">
        <w:rPr>
          <w:sz w:val="20"/>
          <w:szCs w:val="20"/>
        </w:rPr>
        <w:t>.</w:t>
      </w:r>
      <w:r w:rsidRPr="00C914ED">
        <w:rPr>
          <w:sz w:val="20"/>
          <w:szCs w:val="20"/>
        </w:rPr>
        <w:t xml:space="preserve"> International Journal of Advanced Multidisciplinary Research and Studies</w:t>
      </w:r>
      <w:r w:rsidR="005B4F2A" w:rsidRPr="00C914ED">
        <w:rPr>
          <w:sz w:val="20"/>
          <w:szCs w:val="20"/>
        </w:rPr>
        <w:t>.</w:t>
      </w:r>
      <w:r w:rsidRPr="00C914ED">
        <w:rPr>
          <w:sz w:val="20"/>
          <w:szCs w:val="20"/>
        </w:rPr>
        <w:t xml:space="preserve"> 2025; 5(2):1208-1213</w:t>
      </w:r>
      <w:r w:rsidR="005B4F2A" w:rsidRPr="00C914ED">
        <w:rPr>
          <w:sz w:val="20"/>
          <w:szCs w:val="20"/>
        </w:rPr>
        <w:t>.</w:t>
      </w:r>
    </w:p>
    <w:p w14:paraId="721881F1" w14:textId="029DCD3C" w:rsidR="00FE3C21" w:rsidRPr="00C914ED" w:rsidRDefault="00FE3C21" w:rsidP="002435AE">
      <w:pPr>
        <w:jc w:val="both"/>
        <w:rPr>
          <w:sz w:val="20"/>
          <w:szCs w:val="20"/>
        </w:rPr>
      </w:pPr>
      <w:r w:rsidRPr="00C914ED">
        <w:rPr>
          <w:sz w:val="20"/>
          <w:szCs w:val="20"/>
        </w:rPr>
        <w:t>[8] R Weill and J Shani</w:t>
      </w:r>
      <w:r w:rsidR="005B4F2A" w:rsidRPr="00C914ED">
        <w:rPr>
          <w:sz w:val="20"/>
          <w:szCs w:val="20"/>
        </w:rPr>
        <w:t xml:space="preserve">. </w:t>
      </w:r>
      <w:r w:rsidRPr="00C914ED">
        <w:rPr>
          <w:sz w:val="20"/>
          <w:szCs w:val="20"/>
        </w:rPr>
        <w:t>Evaluation of robot positioning accuracy by kinematic error modeling</w:t>
      </w:r>
      <w:r w:rsidR="005B4F2A" w:rsidRPr="00C914ED">
        <w:rPr>
          <w:sz w:val="20"/>
          <w:szCs w:val="20"/>
        </w:rPr>
        <w:t>.</w:t>
      </w:r>
      <w:r w:rsidRPr="00C914ED">
        <w:rPr>
          <w:sz w:val="20"/>
          <w:szCs w:val="20"/>
        </w:rPr>
        <w:t xml:space="preserve"> CIRP Annals</w:t>
      </w:r>
      <w:r w:rsidR="005B4F2A" w:rsidRPr="00C914ED">
        <w:rPr>
          <w:sz w:val="20"/>
          <w:szCs w:val="20"/>
        </w:rPr>
        <w:t>. 1989;</w:t>
      </w:r>
      <w:r w:rsidRPr="00C914ED">
        <w:rPr>
          <w:sz w:val="20"/>
          <w:szCs w:val="20"/>
        </w:rPr>
        <w:t xml:space="preserve"> vol. 38, no. 1, pp. 503–506.</w:t>
      </w:r>
    </w:p>
    <w:p w14:paraId="313DF86E" w14:textId="11F83AAE" w:rsidR="00FE3C21" w:rsidRPr="00C914ED" w:rsidRDefault="00FE3C21" w:rsidP="002435AE">
      <w:pPr>
        <w:jc w:val="both"/>
        <w:rPr>
          <w:sz w:val="20"/>
          <w:szCs w:val="20"/>
        </w:rPr>
      </w:pPr>
      <w:r w:rsidRPr="00C914ED">
        <w:rPr>
          <w:sz w:val="20"/>
          <w:szCs w:val="20"/>
        </w:rPr>
        <w:t>[9] S D Dao and K Abhary</w:t>
      </w:r>
      <w:r w:rsidR="005B4F2A" w:rsidRPr="00C914ED">
        <w:rPr>
          <w:sz w:val="20"/>
          <w:szCs w:val="20"/>
        </w:rPr>
        <w:t xml:space="preserve">. </w:t>
      </w:r>
      <w:r w:rsidRPr="00C914ED">
        <w:rPr>
          <w:sz w:val="20"/>
          <w:szCs w:val="20"/>
        </w:rPr>
        <w:t>Determination of the Significance of Tolerance Parameters on Robot Performance Using Taguchi’s Tolerance Design Experiment</w:t>
      </w:r>
      <w:r w:rsidR="00C914ED" w:rsidRPr="00C914ED">
        <w:rPr>
          <w:sz w:val="20"/>
          <w:szCs w:val="20"/>
        </w:rPr>
        <w:t>.</w:t>
      </w:r>
      <w:r w:rsidRPr="00C914ED">
        <w:rPr>
          <w:sz w:val="20"/>
          <w:szCs w:val="20"/>
        </w:rPr>
        <w:t xml:space="preserve"> Applied Mechanics and Materials</w:t>
      </w:r>
      <w:r w:rsidR="00C914ED" w:rsidRPr="00C914ED">
        <w:rPr>
          <w:sz w:val="20"/>
          <w:szCs w:val="20"/>
        </w:rPr>
        <w:t>. 2012;</w:t>
      </w:r>
      <w:r w:rsidRPr="00C914ED">
        <w:rPr>
          <w:sz w:val="20"/>
          <w:szCs w:val="20"/>
        </w:rPr>
        <w:t xml:space="preserve"> vol. 229, pp. 2100–2105.</w:t>
      </w:r>
    </w:p>
    <w:p w14:paraId="317073CC" w14:textId="36948383" w:rsidR="00FE3C21" w:rsidRPr="00C914ED" w:rsidRDefault="00FE3C21" w:rsidP="002435AE">
      <w:pPr>
        <w:jc w:val="both"/>
        <w:rPr>
          <w:sz w:val="20"/>
          <w:szCs w:val="20"/>
        </w:rPr>
      </w:pPr>
      <w:r w:rsidRPr="00C914ED">
        <w:rPr>
          <w:sz w:val="20"/>
          <w:szCs w:val="20"/>
        </w:rPr>
        <w:t>[10] W Wu and S S Rao</w:t>
      </w:r>
      <w:r w:rsidR="00C914ED" w:rsidRPr="00C914ED">
        <w:rPr>
          <w:sz w:val="20"/>
          <w:szCs w:val="20"/>
        </w:rPr>
        <w:t xml:space="preserve">. </w:t>
      </w:r>
      <w:r w:rsidRPr="00C914ED">
        <w:rPr>
          <w:sz w:val="20"/>
          <w:szCs w:val="20"/>
        </w:rPr>
        <w:t>Uncertainty analysis and allocation of joint tolerances in robot manipulators based on interval analysis</w:t>
      </w:r>
      <w:r w:rsidR="00C914ED" w:rsidRPr="00C914ED">
        <w:rPr>
          <w:sz w:val="20"/>
          <w:szCs w:val="20"/>
        </w:rPr>
        <w:t>.</w:t>
      </w:r>
      <w:r w:rsidRPr="00C914ED">
        <w:rPr>
          <w:sz w:val="20"/>
          <w:szCs w:val="20"/>
        </w:rPr>
        <w:t xml:space="preserve"> Reliability Engineering &amp; System Safety</w:t>
      </w:r>
      <w:r w:rsidR="00C914ED" w:rsidRPr="00C914ED">
        <w:rPr>
          <w:sz w:val="20"/>
          <w:szCs w:val="20"/>
        </w:rPr>
        <w:t>. 2007;</w:t>
      </w:r>
      <w:r w:rsidRPr="00C914ED">
        <w:rPr>
          <w:sz w:val="20"/>
          <w:szCs w:val="20"/>
        </w:rPr>
        <w:t xml:space="preserve"> vol. 92, no. 1, pp. 54–64.</w:t>
      </w:r>
    </w:p>
    <w:p w14:paraId="34CB57FF" w14:textId="77777777" w:rsidR="00FE3C21" w:rsidRPr="002435AE" w:rsidRDefault="00FE3C21" w:rsidP="002435AE">
      <w:pPr>
        <w:rPr>
          <w:b/>
          <w:bCs/>
          <w:sz w:val="20"/>
          <w:szCs w:val="20"/>
        </w:rPr>
      </w:pPr>
    </w:p>
    <w:sectPr w:rsidR="00FE3C21" w:rsidRPr="002435AE" w:rsidSect="002435A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DCF"/>
    <w:multiLevelType w:val="multilevel"/>
    <w:tmpl w:val="2A3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93B22"/>
    <w:multiLevelType w:val="multilevel"/>
    <w:tmpl w:val="7944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34D3C"/>
    <w:multiLevelType w:val="multilevel"/>
    <w:tmpl w:val="6A5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F3C45"/>
    <w:multiLevelType w:val="multilevel"/>
    <w:tmpl w:val="BA60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593842"/>
    <w:multiLevelType w:val="multilevel"/>
    <w:tmpl w:val="E95E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846282">
    <w:abstractNumId w:val="2"/>
  </w:num>
  <w:num w:numId="2" w16cid:durableId="2012295829">
    <w:abstractNumId w:val="0"/>
  </w:num>
  <w:num w:numId="3" w16cid:durableId="1745293679">
    <w:abstractNumId w:val="3"/>
  </w:num>
  <w:num w:numId="4" w16cid:durableId="502816333">
    <w:abstractNumId w:val="4"/>
  </w:num>
  <w:num w:numId="5" w16cid:durableId="627782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23"/>
    <w:rsid w:val="00026A28"/>
    <w:rsid w:val="002435AE"/>
    <w:rsid w:val="002B653A"/>
    <w:rsid w:val="004122F2"/>
    <w:rsid w:val="005B4F2A"/>
    <w:rsid w:val="00653DF4"/>
    <w:rsid w:val="007B64DB"/>
    <w:rsid w:val="00841DE5"/>
    <w:rsid w:val="00881DD0"/>
    <w:rsid w:val="00B42823"/>
    <w:rsid w:val="00C914ED"/>
    <w:rsid w:val="00E76906"/>
    <w:rsid w:val="00FE10C0"/>
    <w:rsid w:val="00FE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E7A9D"/>
  <w15:chartTrackingRefBased/>
  <w15:docId w15:val="{F8735E06-348A-424D-B4E4-86D7E21D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42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B42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B428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B428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B428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B428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428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428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428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8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B428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B428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B4282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B4282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B4282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B4282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B4282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B42823"/>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B428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42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428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B428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28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823"/>
    <w:rPr>
      <w:i/>
      <w:iCs/>
      <w:color w:val="404040" w:themeColor="text1" w:themeTint="BF"/>
      <w:sz w:val="24"/>
      <w:szCs w:val="24"/>
    </w:rPr>
  </w:style>
  <w:style w:type="paragraph" w:styleId="ListParagraph">
    <w:name w:val="List Paragraph"/>
    <w:basedOn w:val="Normal"/>
    <w:uiPriority w:val="34"/>
    <w:qFormat/>
    <w:rsid w:val="00B42823"/>
    <w:pPr>
      <w:ind w:left="720"/>
      <w:contextualSpacing/>
    </w:pPr>
  </w:style>
  <w:style w:type="character" w:styleId="IntenseEmphasis">
    <w:name w:val="Intense Emphasis"/>
    <w:basedOn w:val="DefaultParagraphFont"/>
    <w:uiPriority w:val="21"/>
    <w:qFormat/>
    <w:rsid w:val="00B42823"/>
    <w:rPr>
      <w:i/>
      <w:iCs/>
      <w:color w:val="2F5496" w:themeColor="accent1" w:themeShade="BF"/>
    </w:rPr>
  </w:style>
  <w:style w:type="paragraph" w:styleId="IntenseQuote">
    <w:name w:val="Intense Quote"/>
    <w:basedOn w:val="Normal"/>
    <w:next w:val="Normal"/>
    <w:link w:val="IntenseQuoteChar"/>
    <w:uiPriority w:val="30"/>
    <w:qFormat/>
    <w:rsid w:val="00B42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823"/>
    <w:rPr>
      <w:i/>
      <w:iCs/>
      <w:color w:val="2F5496" w:themeColor="accent1" w:themeShade="BF"/>
      <w:sz w:val="24"/>
      <w:szCs w:val="24"/>
    </w:rPr>
  </w:style>
  <w:style w:type="character" w:styleId="IntenseReference">
    <w:name w:val="Intense Reference"/>
    <w:basedOn w:val="DefaultParagraphFont"/>
    <w:uiPriority w:val="32"/>
    <w:qFormat/>
    <w:rsid w:val="00B42823"/>
    <w:rPr>
      <w:b/>
      <w:bCs/>
      <w:smallCaps/>
      <w:color w:val="2F5496" w:themeColor="accent1" w:themeShade="BF"/>
      <w:spacing w:val="5"/>
    </w:rPr>
  </w:style>
  <w:style w:type="table" w:styleId="TableGrid">
    <w:name w:val="Table Grid"/>
    <w:basedOn w:val="TableNormal"/>
    <w:rsid w:val="00026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35AE"/>
    <w:rPr>
      <w:color w:val="0563C1" w:themeColor="hyperlink"/>
      <w:u w:val="single"/>
    </w:rPr>
  </w:style>
  <w:style w:type="character" w:styleId="UnresolvedMention">
    <w:name w:val="Unresolved Mention"/>
    <w:basedOn w:val="DefaultParagraphFont"/>
    <w:uiPriority w:val="99"/>
    <w:semiHidden/>
    <w:unhideWhenUsed/>
    <w:rsid w:val="0024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07847">
      <w:bodyDiv w:val="1"/>
      <w:marLeft w:val="0"/>
      <w:marRight w:val="0"/>
      <w:marTop w:val="0"/>
      <w:marBottom w:val="0"/>
      <w:divBdr>
        <w:top w:val="none" w:sz="0" w:space="0" w:color="auto"/>
        <w:left w:val="none" w:sz="0" w:space="0" w:color="auto"/>
        <w:bottom w:val="none" w:sz="0" w:space="0" w:color="auto"/>
        <w:right w:val="none" w:sz="0" w:space="0" w:color="auto"/>
      </w:divBdr>
    </w:div>
    <w:div w:id="320618130">
      <w:bodyDiv w:val="1"/>
      <w:marLeft w:val="0"/>
      <w:marRight w:val="0"/>
      <w:marTop w:val="0"/>
      <w:marBottom w:val="0"/>
      <w:divBdr>
        <w:top w:val="none" w:sz="0" w:space="0" w:color="auto"/>
        <w:left w:val="none" w:sz="0" w:space="0" w:color="auto"/>
        <w:bottom w:val="none" w:sz="0" w:space="0" w:color="auto"/>
        <w:right w:val="none" w:sz="0" w:space="0" w:color="auto"/>
      </w:divBdr>
    </w:div>
    <w:div w:id="426193960">
      <w:bodyDiv w:val="1"/>
      <w:marLeft w:val="0"/>
      <w:marRight w:val="0"/>
      <w:marTop w:val="0"/>
      <w:marBottom w:val="0"/>
      <w:divBdr>
        <w:top w:val="none" w:sz="0" w:space="0" w:color="auto"/>
        <w:left w:val="none" w:sz="0" w:space="0" w:color="auto"/>
        <w:bottom w:val="none" w:sz="0" w:space="0" w:color="auto"/>
        <w:right w:val="none" w:sz="0" w:space="0" w:color="auto"/>
      </w:divBdr>
    </w:div>
    <w:div w:id="437024895">
      <w:bodyDiv w:val="1"/>
      <w:marLeft w:val="0"/>
      <w:marRight w:val="0"/>
      <w:marTop w:val="0"/>
      <w:marBottom w:val="0"/>
      <w:divBdr>
        <w:top w:val="none" w:sz="0" w:space="0" w:color="auto"/>
        <w:left w:val="none" w:sz="0" w:space="0" w:color="auto"/>
        <w:bottom w:val="none" w:sz="0" w:space="0" w:color="auto"/>
        <w:right w:val="none" w:sz="0" w:space="0" w:color="auto"/>
      </w:divBdr>
    </w:div>
    <w:div w:id="498810765">
      <w:bodyDiv w:val="1"/>
      <w:marLeft w:val="0"/>
      <w:marRight w:val="0"/>
      <w:marTop w:val="0"/>
      <w:marBottom w:val="0"/>
      <w:divBdr>
        <w:top w:val="none" w:sz="0" w:space="0" w:color="auto"/>
        <w:left w:val="none" w:sz="0" w:space="0" w:color="auto"/>
        <w:bottom w:val="none" w:sz="0" w:space="0" w:color="auto"/>
        <w:right w:val="none" w:sz="0" w:space="0" w:color="auto"/>
      </w:divBdr>
    </w:div>
    <w:div w:id="510144306">
      <w:bodyDiv w:val="1"/>
      <w:marLeft w:val="0"/>
      <w:marRight w:val="0"/>
      <w:marTop w:val="0"/>
      <w:marBottom w:val="0"/>
      <w:divBdr>
        <w:top w:val="none" w:sz="0" w:space="0" w:color="auto"/>
        <w:left w:val="none" w:sz="0" w:space="0" w:color="auto"/>
        <w:bottom w:val="none" w:sz="0" w:space="0" w:color="auto"/>
        <w:right w:val="none" w:sz="0" w:space="0" w:color="auto"/>
      </w:divBdr>
    </w:div>
    <w:div w:id="720133777">
      <w:bodyDiv w:val="1"/>
      <w:marLeft w:val="0"/>
      <w:marRight w:val="0"/>
      <w:marTop w:val="0"/>
      <w:marBottom w:val="0"/>
      <w:divBdr>
        <w:top w:val="none" w:sz="0" w:space="0" w:color="auto"/>
        <w:left w:val="none" w:sz="0" w:space="0" w:color="auto"/>
        <w:bottom w:val="none" w:sz="0" w:space="0" w:color="auto"/>
        <w:right w:val="none" w:sz="0" w:space="0" w:color="auto"/>
      </w:divBdr>
    </w:div>
    <w:div w:id="1082336432">
      <w:bodyDiv w:val="1"/>
      <w:marLeft w:val="0"/>
      <w:marRight w:val="0"/>
      <w:marTop w:val="0"/>
      <w:marBottom w:val="0"/>
      <w:divBdr>
        <w:top w:val="none" w:sz="0" w:space="0" w:color="auto"/>
        <w:left w:val="none" w:sz="0" w:space="0" w:color="auto"/>
        <w:bottom w:val="none" w:sz="0" w:space="0" w:color="auto"/>
        <w:right w:val="none" w:sz="0" w:space="0" w:color="auto"/>
      </w:divBdr>
    </w:div>
    <w:div w:id="1083648917">
      <w:bodyDiv w:val="1"/>
      <w:marLeft w:val="0"/>
      <w:marRight w:val="0"/>
      <w:marTop w:val="0"/>
      <w:marBottom w:val="0"/>
      <w:divBdr>
        <w:top w:val="none" w:sz="0" w:space="0" w:color="auto"/>
        <w:left w:val="none" w:sz="0" w:space="0" w:color="auto"/>
        <w:bottom w:val="none" w:sz="0" w:space="0" w:color="auto"/>
        <w:right w:val="none" w:sz="0" w:space="0" w:color="auto"/>
      </w:divBdr>
    </w:div>
    <w:div w:id="1307468333">
      <w:bodyDiv w:val="1"/>
      <w:marLeft w:val="0"/>
      <w:marRight w:val="0"/>
      <w:marTop w:val="0"/>
      <w:marBottom w:val="0"/>
      <w:divBdr>
        <w:top w:val="none" w:sz="0" w:space="0" w:color="auto"/>
        <w:left w:val="none" w:sz="0" w:space="0" w:color="auto"/>
        <w:bottom w:val="none" w:sz="0" w:space="0" w:color="auto"/>
        <w:right w:val="none" w:sz="0" w:space="0" w:color="auto"/>
      </w:divBdr>
    </w:div>
    <w:div w:id="1656257442">
      <w:bodyDiv w:val="1"/>
      <w:marLeft w:val="0"/>
      <w:marRight w:val="0"/>
      <w:marTop w:val="0"/>
      <w:marBottom w:val="0"/>
      <w:divBdr>
        <w:top w:val="none" w:sz="0" w:space="0" w:color="auto"/>
        <w:left w:val="none" w:sz="0" w:space="0" w:color="auto"/>
        <w:bottom w:val="none" w:sz="0" w:space="0" w:color="auto"/>
        <w:right w:val="none" w:sz="0" w:space="0" w:color="auto"/>
      </w:divBdr>
    </w:div>
    <w:div w:id="1681153437">
      <w:bodyDiv w:val="1"/>
      <w:marLeft w:val="0"/>
      <w:marRight w:val="0"/>
      <w:marTop w:val="0"/>
      <w:marBottom w:val="0"/>
      <w:divBdr>
        <w:top w:val="none" w:sz="0" w:space="0" w:color="auto"/>
        <w:left w:val="none" w:sz="0" w:space="0" w:color="auto"/>
        <w:bottom w:val="none" w:sz="0" w:space="0" w:color="auto"/>
        <w:right w:val="none" w:sz="0" w:space="0" w:color="auto"/>
      </w:divBdr>
    </w:div>
    <w:div w:id="1867522527">
      <w:bodyDiv w:val="1"/>
      <w:marLeft w:val="0"/>
      <w:marRight w:val="0"/>
      <w:marTop w:val="0"/>
      <w:marBottom w:val="0"/>
      <w:divBdr>
        <w:top w:val="none" w:sz="0" w:space="0" w:color="auto"/>
        <w:left w:val="none" w:sz="0" w:space="0" w:color="auto"/>
        <w:bottom w:val="none" w:sz="0" w:space="0" w:color="auto"/>
        <w:right w:val="none" w:sz="0" w:space="0" w:color="auto"/>
      </w:divBdr>
    </w:div>
    <w:div w:id="19689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hanthuyngoc@tnut.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Thủy</dc:creator>
  <cp:keywords/>
  <dc:description/>
  <cp:lastModifiedBy>Lê Thị Thu Thủy</cp:lastModifiedBy>
  <cp:revision>3</cp:revision>
  <dcterms:created xsi:type="dcterms:W3CDTF">2026-05-25T17:13:00Z</dcterms:created>
  <dcterms:modified xsi:type="dcterms:W3CDTF">2026-05-31T09:43:00Z</dcterms:modified>
</cp:coreProperties>
</file>